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E2B4D"/>
          <w:sz w:val="32"/>
        </w:rPr>
        <w:t>MOVE78</w:t>
      </w:r>
    </w:p>
    <w:p>
      <w:pPr>
        <w:pStyle w:val="Heading1"/>
        <w:jc w:val="left"/>
      </w:pPr>
      <w:r>
        <w:t>Agentic AI Governance Operating Model</w:t>
      </w:r>
    </w:p>
    <w:p>
      <w:r>
        <w:rPr>
          <w:i/>
          <w:color w:val="64748B"/>
        </w:rPr>
        <w:t>One-page implementation model for AI agents, MCP servers, OpenClaw skills, human oversight, kill-switches, and evidence trails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top"/>
            <w:shd w:fill="EFF6FF"/>
            <w:tcBorders>
              <w:top w:val="single" w:sz="6" w:space="0" w:color="BFDBFE"/>
              <w:left w:val="single" w:sz="6" w:space="0" w:color="BFDBFE"/>
              <w:bottom w:val="single" w:sz="6" w:space="0" w:color="BFDBFE"/>
              <w:right w:val="single" w:sz="6" w:space="0" w:color="BFDBFE"/>
            </w:tcBorders>
          </w:tcPr>
          <w:p>
            <w:r>
              <w:rPr>
                <w:b/>
                <w:color w:val="1E40AF"/>
              </w:rPr>
              <w:t xml:space="preserve">Positioning: </w:t>
            </w:r>
            <w:r>
              <w:t>This one-pager defines the minimum operating model for teams moving from AI experimentation to governed agentic AI deployment.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c>
          <w:tcPr>
            <w:tcW w:type="dxa" w:w="3360"/>
            <w:shd w:fill="1E2B4D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b/>
                <w:color w:val="FFFFFF"/>
                <w:sz w:val="18"/>
              </w:rPr>
              <w:t>Layer</w:t>
            </w:r>
          </w:p>
        </w:tc>
        <w:tc>
          <w:tcPr>
            <w:tcW w:type="dxa" w:w="3360"/>
            <w:shd w:fill="1E2B4D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b/>
                <w:color w:val="FFFFFF"/>
                <w:sz w:val="18"/>
              </w:rPr>
              <w:t>Governance decision</w:t>
            </w:r>
          </w:p>
        </w:tc>
        <w:tc>
          <w:tcPr>
            <w:tcW w:type="dxa" w:w="3360"/>
            <w:shd w:fill="1E2B4D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b/>
                <w:color w:val="FFFFFF"/>
                <w:sz w:val="18"/>
              </w:rPr>
              <w:t>Evidence artifact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Use-case intake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Should this agent exist and who owns it?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Use-case intake record and owner assignment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Approval gate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Can the agent access tools, data, connectors, or external parties?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Agent / MCP / skill approval log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Identity and access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What non-human identity and credential scope is permitted?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Credential scope record and least-privilege review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Human oversight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Which actions require human approval or post-action review?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Human override matrix and approval rules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Kill-switch and rollback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When must the agent be disabled or rolled back?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Kill-switch trigger table and fallback plan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Evidence and monitoring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What prompts, tool calls, outputs, and decisions must be retained?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Evidence tracker and audit trail map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Incident escalation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Who decides containment, notification, and restart?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Incident log, escalation matrix, post-incident review</w:t>
            </w:r>
          </w:p>
        </w:tc>
      </w:tr>
    </w:tbl>
    <w:p/>
    <w:p>
      <w:pPr>
        <w:pStyle w:val="Heading2"/>
      </w:pPr>
      <w:r>
        <w:t>Minimum operating principle</w:t>
      </w:r>
    </w:p>
    <w:p>
      <w:r>
        <w:t>Do not approve an AI agent unless ownership, tool permissions, non-human identity, human oversight, kill-switch criteria, evidence retention, and incident escalation are documented before production use.</w:t>
      </w:r>
    </w:p>
    <w:p>
      <w:pPr>
        <w:pStyle w:val="Heading2"/>
      </w:pPr>
      <w:r>
        <w:t>Primary references</w:t>
      </w:r>
    </w:p>
    <w:p>
      <w:pPr/>
      <w:r>
        <w:rPr>
          <w:b/>
        </w:rPr>
        <w:t xml:space="preserve">Colorado SB24-205 Consumer Protections for Artificial Intelligence: </w:t>
      </w:r>
      <w:r>
        <w:t>https://leg.colorado.gov/bills/sb24-205</w:t>
      </w:r>
    </w:p>
    <w:p>
      <w:pPr/>
      <w:r>
        <w:rPr>
          <w:b/>
        </w:rPr>
        <w:t xml:space="preserve">NIST AI Risk Management Framework 1.0: </w:t>
      </w:r>
      <w:r>
        <w:t>https://www.nist.gov/publications/artificial-intelligence-risk-management-framework-ai-rmf-10</w:t>
      </w:r>
    </w:p>
    <w:p>
      <w:pPr/>
      <w:r>
        <w:rPr>
          <w:b/>
        </w:rPr>
        <w:t xml:space="preserve">NIST AI RMF Playbook and resources: </w:t>
      </w:r>
      <w:r>
        <w:t>https://www.nist.gov/itl/ai-risk-management-framework</w:t>
      </w:r>
    </w:p>
    <w:p>
      <w:pPr/>
      <w:r>
        <w:rPr>
          <w:b/>
        </w:rPr>
        <w:t xml:space="preserve">NIST AI RMF Generative AI Profile: </w:t>
      </w:r>
      <w:r>
        <w:t>https://www.nist.gov/publications/artificial-intelligence-risk-management-framework-generative-artificial-intelligence</w:t>
      </w:r>
    </w:p>
    <w:p>
      <w:pPr/>
      <w:r>
        <w:rPr>
          <w:b/>
        </w:rPr>
        <w:t xml:space="preserve">ISO/IEC 42001:2023 information page: </w:t>
      </w:r>
      <w:r>
        <w:t>https://www.iso.org/standard/81230.html</w:t>
      </w:r>
    </w:p>
    <w:p>
      <w:pPr/>
      <w:r>
        <w:rPr>
          <w:b/>
        </w:rPr>
        <w:t xml:space="preserve">OWASP Top 10 for Large Language Model Applications: </w:t>
      </w:r>
      <w:r>
        <w:t>https://owasp.org/www-project-top-10-for-large-language-model-applications/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top"/>
            <w:shd w:fill="EFF6FF"/>
            <w:tcBorders>
              <w:top w:val="single" w:sz="6" w:space="0" w:color="BFDBFE"/>
              <w:left w:val="single" w:sz="6" w:space="0" w:color="BFDBFE"/>
              <w:bottom w:val="single" w:sz="6" w:space="0" w:color="BFDBFE"/>
              <w:right w:val="single" w:sz="6" w:space="0" w:color="BFDBFE"/>
            </w:tcBorders>
          </w:tcPr>
          <w:p>
            <w:r>
              <w:rPr>
                <w:b/>
                <w:color w:val="1E40AF"/>
              </w:rPr>
              <w:t xml:space="preserve">Legal and compliance limitation: </w:t>
            </w:r>
            <w:r>
              <w:t>This artifact is informational only. It is not legal advice, an audit report, a certification document, or a guarantee of compliance. Validate with qualified counsel and internal governance owners before relying on it.</w:t>
            </w:r>
          </w:p>
        </w:tc>
      </w:tr>
    </w:tbl>
    <w:p/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0F172A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E2B4D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E2B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E2B4D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