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EE402C" w14:textId="77777777" w:rsidR="002F21E0" w:rsidRDefault="00000000">
      <w:pPr>
        <w:pStyle w:val="Heading1"/>
      </w:pPr>
      <w:r>
        <w:t>Agentic AI Shutdown Playbook</w:t>
      </w:r>
    </w:p>
    <w:p w14:paraId="6820C59A" w14:textId="77777777" w:rsidR="002F21E0" w:rsidRDefault="00000000">
      <w:r>
        <w:rPr>
          <w:i/>
          <w:color w:val="64748B"/>
        </w:rPr>
        <w:t>Incident response starter for AI agents, MCP, OpenClaw, and autonomous workflows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0080"/>
      </w:tblGrid>
      <w:tr w:rsidR="002F21E0" w14:paraId="3ED6058C" w14:textId="77777777">
        <w:trPr>
          <w:jc w:val="center"/>
        </w:trPr>
        <w:tc>
          <w:tcPr>
            <w:tcW w:w="10080" w:type="dxa"/>
            <w:tcBorders>
              <w:top w:val="single" w:sz="6" w:space="0" w:color="BFDBFE"/>
              <w:left w:val="single" w:sz="6" w:space="0" w:color="BFDBFE"/>
              <w:bottom w:val="single" w:sz="6" w:space="0" w:color="BFDBFE"/>
              <w:right w:val="single" w:sz="6" w:space="0" w:color="BFDBFE"/>
            </w:tcBorders>
            <w:shd w:val="clear" w:color="auto" w:fill="EFF6FF"/>
          </w:tcPr>
          <w:p w14:paraId="4C499B42" w14:textId="77777777" w:rsidR="002F21E0" w:rsidRDefault="00000000">
            <w:r>
              <w:rPr>
                <w:b/>
                <w:color w:val="1E40AF"/>
              </w:rPr>
              <w:t xml:space="preserve">Use case: </w:t>
            </w:r>
            <w:r>
              <w:t>Use this playbook when an AI agent or tool-connected workflow shows unauthorized autonomy, unsafe action, prompt injection, data leakage, credential misuse, or containment failure.</w:t>
            </w:r>
          </w:p>
        </w:tc>
      </w:tr>
    </w:tbl>
    <w:p w14:paraId="339FAC25" w14:textId="77777777" w:rsidR="002F21E0" w:rsidRDefault="002F21E0"/>
    <w:p w14:paraId="0F9BCA95" w14:textId="77777777" w:rsidR="002F21E0" w:rsidRDefault="00000000">
      <w:pPr>
        <w:pStyle w:val="Heading2"/>
      </w:pPr>
      <w:r>
        <w:t>Shutdown decision sequence</w:t>
      </w:r>
    </w:p>
    <w:p w14:paraId="66B76003" w14:textId="77777777" w:rsidR="002F21E0" w:rsidRDefault="00000000">
      <w:pPr>
        <w:pStyle w:val="ListNumber"/>
      </w:pPr>
      <w:r>
        <w:t>Detect and classify the event.</w:t>
      </w:r>
    </w:p>
    <w:p w14:paraId="23EB4189" w14:textId="77777777" w:rsidR="002F21E0" w:rsidRDefault="00000000">
      <w:pPr>
        <w:pStyle w:val="ListNumber"/>
      </w:pPr>
      <w:r>
        <w:t>Preserve prompt, tool-call, identity, output, connector, and runtime logs.</w:t>
      </w:r>
    </w:p>
    <w:p w14:paraId="133DF492" w14:textId="77777777" w:rsidR="002F21E0" w:rsidRDefault="00000000">
      <w:pPr>
        <w:pStyle w:val="ListNumber"/>
      </w:pPr>
      <w:r>
        <w:t>Disable the affected agent runtime or skill before evidence is lost.</w:t>
      </w:r>
    </w:p>
    <w:p w14:paraId="4ADC49AC" w14:textId="77777777" w:rsidR="002F21E0" w:rsidRDefault="00000000">
      <w:pPr>
        <w:pStyle w:val="ListNumber"/>
      </w:pPr>
      <w:r>
        <w:t>Revoke credentials and connector tokens where data or production action is involved.</w:t>
      </w:r>
    </w:p>
    <w:p w14:paraId="00033403" w14:textId="77777777" w:rsidR="002F21E0" w:rsidRDefault="00000000">
      <w:pPr>
        <w:pStyle w:val="ListNumber"/>
      </w:pPr>
      <w:r>
        <w:t>Switch business workflow to manual fallback or safe mode.</w:t>
      </w:r>
    </w:p>
    <w:p w14:paraId="15EF197B" w14:textId="77777777" w:rsidR="002F21E0" w:rsidRDefault="00000000">
      <w:pPr>
        <w:pStyle w:val="ListNumber"/>
      </w:pPr>
      <w:r>
        <w:t>Complete post-incident control update before restart.</w:t>
      </w:r>
    </w:p>
    <w:p w14:paraId="10B1349E" w14:textId="77777777" w:rsidR="002F21E0" w:rsidRDefault="00000000">
      <w:pPr>
        <w:pStyle w:val="Heading2"/>
      </w:pPr>
      <w:r>
        <w:t>Role model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040"/>
        <w:gridCol w:w="5040"/>
      </w:tblGrid>
      <w:tr w:rsidR="002F21E0" w14:paraId="09230160" w14:textId="77777777">
        <w:trPr>
          <w:jc w:val="center"/>
        </w:trPr>
        <w:tc>
          <w:tcPr>
            <w:tcW w:w="5040" w:type="dxa"/>
            <w:tcBorders>
              <w:top w:val="single" w:sz="6" w:space="0" w:color="D9E2EF"/>
              <w:left w:val="single" w:sz="6" w:space="0" w:color="D9E2EF"/>
              <w:bottom w:val="single" w:sz="6" w:space="0" w:color="D9E2EF"/>
              <w:right w:val="single" w:sz="6" w:space="0" w:color="D9E2EF"/>
            </w:tcBorders>
            <w:shd w:val="clear" w:color="auto" w:fill="1E2B4D"/>
          </w:tcPr>
          <w:p w14:paraId="793C43C9" w14:textId="77777777" w:rsidR="002F21E0" w:rsidRDefault="00000000">
            <w:r>
              <w:rPr>
                <w:b/>
                <w:color w:val="FFFFFF"/>
                <w:sz w:val="18"/>
              </w:rPr>
              <w:t>Role</w:t>
            </w:r>
          </w:p>
        </w:tc>
        <w:tc>
          <w:tcPr>
            <w:tcW w:w="5040" w:type="dxa"/>
            <w:tcBorders>
              <w:top w:val="single" w:sz="6" w:space="0" w:color="D9E2EF"/>
              <w:left w:val="single" w:sz="6" w:space="0" w:color="D9E2EF"/>
              <w:bottom w:val="single" w:sz="6" w:space="0" w:color="D9E2EF"/>
              <w:right w:val="single" w:sz="6" w:space="0" w:color="D9E2EF"/>
            </w:tcBorders>
            <w:shd w:val="clear" w:color="auto" w:fill="1E2B4D"/>
          </w:tcPr>
          <w:p w14:paraId="180168ED" w14:textId="77777777" w:rsidR="002F21E0" w:rsidRDefault="00000000">
            <w:r>
              <w:rPr>
                <w:b/>
                <w:color w:val="FFFFFF"/>
                <w:sz w:val="18"/>
              </w:rPr>
              <w:t>Typical responsibility</w:t>
            </w:r>
          </w:p>
        </w:tc>
      </w:tr>
      <w:tr w:rsidR="002F21E0" w14:paraId="34D79657" w14:textId="77777777">
        <w:trPr>
          <w:jc w:val="center"/>
        </w:trPr>
        <w:tc>
          <w:tcPr>
            <w:tcW w:w="5040" w:type="dxa"/>
            <w:tcBorders>
              <w:top w:val="single" w:sz="6" w:space="0" w:color="D9E2EF"/>
              <w:left w:val="single" w:sz="6" w:space="0" w:color="D9E2EF"/>
              <w:bottom w:val="single" w:sz="6" w:space="0" w:color="D9E2EF"/>
              <w:right w:val="single" w:sz="6" w:space="0" w:color="D9E2EF"/>
            </w:tcBorders>
          </w:tcPr>
          <w:p w14:paraId="1EF878F9" w14:textId="77777777" w:rsidR="002F21E0" w:rsidRDefault="00000000">
            <w:r>
              <w:rPr>
                <w:sz w:val="17"/>
              </w:rPr>
              <w:t>Incident Manager</w:t>
            </w:r>
          </w:p>
        </w:tc>
        <w:tc>
          <w:tcPr>
            <w:tcW w:w="5040" w:type="dxa"/>
            <w:tcBorders>
              <w:top w:val="single" w:sz="6" w:space="0" w:color="D9E2EF"/>
              <w:left w:val="single" w:sz="6" w:space="0" w:color="D9E2EF"/>
              <w:bottom w:val="single" w:sz="6" w:space="0" w:color="D9E2EF"/>
              <w:right w:val="single" w:sz="6" w:space="0" w:color="D9E2EF"/>
            </w:tcBorders>
          </w:tcPr>
          <w:p w14:paraId="3D45ABAB" w14:textId="77777777" w:rsidR="002F21E0" w:rsidRDefault="00000000">
            <w:r>
              <w:rPr>
                <w:sz w:val="17"/>
              </w:rPr>
              <w:t>Coordinates response, evidence preservation, and post-incident review</w:t>
            </w:r>
          </w:p>
        </w:tc>
      </w:tr>
      <w:tr w:rsidR="002F21E0" w14:paraId="7536714E" w14:textId="77777777">
        <w:trPr>
          <w:jc w:val="center"/>
        </w:trPr>
        <w:tc>
          <w:tcPr>
            <w:tcW w:w="5040" w:type="dxa"/>
            <w:tcBorders>
              <w:top w:val="single" w:sz="6" w:space="0" w:color="D9E2EF"/>
              <w:left w:val="single" w:sz="6" w:space="0" w:color="D9E2EF"/>
              <w:bottom w:val="single" w:sz="6" w:space="0" w:color="D9E2EF"/>
              <w:right w:val="single" w:sz="6" w:space="0" w:color="D9E2EF"/>
            </w:tcBorders>
          </w:tcPr>
          <w:p w14:paraId="4DAF4B91" w14:textId="77777777" w:rsidR="002F21E0" w:rsidRDefault="00000000">
            <w:r>
              <w:rPr>
                <w:sz w:val="17"/>
              </w:rPr>
              <w:t>AI Platform Owner</w:t>
            </w:r>
          </w:p>
        </w:tc>
        <w:tc>
          <w:tcPr>
            <w:tcW w:w="5040" w:type="dxa"/>
            <w:tcBorders>
              <w:top w:val="single" w:sz="6" w:space="0" w:color="D9E2EF"/>
              <w:left w:val="single" w:sz="6" w:space="0" w:color="D9E2EF"/>
              <w:bottom w:val="single" w:sz="6" w:space="0" w:color="D9E2EF"/>
              <w:right w:val="single" w:sz="6" w:space="0" w:color="D9E2EF"/>
            </w:tcBorders>
          </w:tcPr>
          <w:p w14:paraId="58F2C9D9" w14:textId="77777777" w:rsidR="002F21E0" w:rsidRDefault="00000000">
            <w:r>
              <w:rPr>
                <w:sz w:val="17"/>
              </w:rPr>
              <w:t>Disables runtime, skills, connectors, and workflow jobs</w:t>
            </w:r>
          </w:p>
        </w:tc>
      </w:tr>
      <w:tr w:rsidR="002F21E0" w14:paraId="2D2092DD" w14:textId="77777777">
        <w:trPr>
          <w:jc w:val="center"/>
        </w:trPr>
        <w:tc>
          <w:tcPr>
            <w:tcW w:w="5040" w:type="dxa"/>
            <w:tcBorders>
              <w:top w:val="single" w:sz="6" w:space="0" w:color="D9E2EF"/>
              <w:left w:val="single" w:sz="6" w:space="0" w:color="D9E2EF"/>
              <w:bottom w:val="single" w:sz="6" w:space="0" w:color="D9E2EF"/>
              <w:right w:val="single" w:sz="6" w:space="0" w:color="D9E2EF"/>
            </w:tcBorders>
          </w:tcPr>
          <w:p w14:paraId="44A5B79E" w14:textId="77777777" w:rsidR="002F21E0" w:rsidRDefault="00000000">
            <w:r>
              <w:rPr>
                <w:sz w:val="17"/>
              </w:rPr>
              <w:t>Security Lead</w:t>
            </w:r>
          </w:p>
        </w:tc>
        <w:tc>
          <w:tcPr>
            <w:tcW w:w="5040" w:type="dxa"/>
            <w:tcBorders>
              <w:top w:val="single" w:sz="6" w:space="0" w:color="D9E2EF"/>
              <w:left w:val="single" w:sz="6" w:space="0" w:color="D9E2EF"/>
              <w:bottom w:val="single" w:sz="6" w:space="0" w:color="D9E2EF"/>
              <w:right w:val="single" w:sz="6" w:space="0" w:color="D9E2EF"/>
            </w:tcBorders>
          </w:tcPr>
          <w:p w14:paraId="24821306" w14:textId="77777777" w:rsidR="002F21E0" w:rsidRDefault="00000000">
            <w:r>
              <w:rPr>
                <w:sz w:val="17"/>
              </w:rPr>
              <w:t>Reviews logs, credentials, identity, and exfiltration indicators</w:t>
            </w:r>
          </w:p>
        </w:tc>
      </w:tr>
      <w:tr w:rsidR="002F21E0" w14:paraId="283B2028" w14:textId="77777777">
        <w:trPr>
          <w:jc w:val="center"/>
        </w:trPr>
        <w:tc>
          <w:tcPr>
            <w:tcW w:w="5040" w:type="dxa"/>
            <w:tcBorders>
              <w:top w:val="single" w:sz="6" w:space="0" w:color="D9E2EF"/>
              <w:left w:val="single" w:sz="6" w:space="0" w:color="D9E2EF"/>
              <w:bottom w:val="single" w:sz="6" w:space="0" w:color="D9E2EF"/>
              <w:right w:val="single" w:sz="6" w:space="0" w:color="D9E2EF"/>
            </w:tcBorders>
          </w:tcPr>
          <w:p w14:paraId="55AEFF47" w14:textId="77777777" w:rsidR="002F21E0" w:rsidRDefault="00000000">
            <w:r>
              <w:rPr>
                <w:sz w:val="17"/>
              </w:rPr>
              <w:t>Business Owner</w:t>
            </w:r>
          </w:p>
        </w:tc>
        <w:tc>
          <w:tcPr>
            <w:tcW w:w="5040" w:type="dxa"/>
            <w:tcBorders>
              <w:top w:val="single" w:sz="6" w:space="0" w:color="D9E2EF"/>
              <w:left w:val="single" w:sz="6" w:space="0" w:color="D9E2EF"/>
              <w:bottom w:val="single" w:sz="6" w:space="0" w:color="D9E2EF"/>
              <w:right w:val="single" w:sz="6" w:space="0" w:color="D9E2EF"/>
            </w:tcBorders>
          </w:tcPr>
          <w:p w14:paraId="35841C36" w14:textId="77777777" w:rsidR="002F21E0" w:rsidRDefault="00000000">
            <w:r>
              <w:rPr>
                <w:sz w:val="17"/>
              </w:rPr>
              <w:t>Owns business impact and manual fallback</w:t>
            </w:r>
          </w:p>
        </w:tc>
      </w:tr>
      <w:tr w:rsidR="002F21E0" w14:paraId="08827E43" w14:textId="77777777">
        <w:trPr>
          <w:jc w:val="center"/>
        </w:trPr>
        <w:tc>
          <w:tcPr>
            <w:tcW w:w="5040" w:type="dxa"/>
            <w:tcBorders>
              <w:top w:val="single" w:sz="6" w:space="0" w:color="D9E2EF"/>
              <w:left w:val="single" w:sz="6" w:space="0" w:color="D9E2EF"/>
              <w:bottom w:val="single" w:sz="6" w:space="0" w:color="D9E2EF"/>
              <w:right w:val="single" w:sz="6" w:space="0" w:color="D9E2EF"/>
            </w:tcBorders>
          </w:tcPr>
          <w:p w14:paraId="7F4D5E84" w14:textId="77777777" w:rsidR="002F21E0" w:rsidRDefault="00000000">
            <w:r>
              <w:rPr>
                <w:sz w:val="17"/>
              </w:rPr>
              <w:t>Legal/Privacy</w:t>
            </w:r>
          </w:p>
        </w:tc>
        <w:tc>
          <w:tcPr>
            <w:tcW w:w="5040" w:type="dxa"/>
            <w:tcBorders>
              <w:top w:val="single" w:sz="6" w:space="0" w:color="D9E2EF"/>
              <w:left w:val="single" w:sz="6" w:space="0" w:color="D9E2EF"/>
              <w:bottom w:val="single" w:sz="6" w:space="0" w:color="D9E2EF"/>
              <w:right w:val="single" w:sz="6" w:space="0" w:color="D9E2EF"/>
            </w:tcBorders>
          </w:tcPr>
          <w:p w14:paraId="562FF2CD" w14:textId="77777777" w:rsidR="002F21E0" w:rsidRDefault="00000000">
            <w:r>
              <w:rPr>
                <w:sz w:val="17"/>
              </w:rPr>
              <w:t>Reviews personal data, consumer impact, reporting, and contractual obligations</w:t>
            </w:r>
          </w:p>
        </w:tc>
      </w:tr>
    </w:tbl>
    <w:p w14:paraId="5CE5F8D8" w14:textId="77777777" w:rsidR="002F21E0" w:rsidRDefault="00000000">
      <w:pPr>
        <w:pStyle w:val="Heading2"/>
      </w:pPr>
      <w:r>
        <w:t>Restart criteria</w:t>
      </w:r>
    </w:p>
    <w:p w14:paraId="7D884E6E" w14:textId="77777777" w:rsidR="002F21E0" w:rsidRDefault="00000000">
      <w:pPr>
        <w:pStyle w:val="ListBullet"/>
      </w:pPr>
      <w:r>
        <w:t>Root cause has been documented.</w:t>
      </w:r>
    </w:p>
    <w:p w14:paraId="7135DB9A" w14:textId="77777777" w:rsidR="002F21E0" w:rsidRDefault="00000000">
      <w:pPr>
        <w:pStyle w:val="ListBullet"/>
      </w:pPr>
      <w:r>
        <w:t>Access permissions and tool scopes have been corrected.</w:t>
      </w:r>
    </w:p>
    <w:p w14:paraId="3A3696B6" w14:textId="77777777" w:rsidR="002F21E0" w:rsidRDefault="00000000">
      <w:pPr>
        <w:pStyle w:val="ListBullet"/>
      </w:pPr>
      <w:r>
        <w:t>High-impact actions are gated by human approval.</w:t>
      </w:r>
    </w:p>
    <w:p w14:paraId="5B409005" w14:textId="77777777" w:rsidR="002F21E0" w:rsidRDefault="00000000">
      <w:pPr>
        <w:pStyle w:val="ListBullet"/>
      </w:pPr>
      <w:r>
        <w:t>Logs and evidence are retained in the incident repository.</w:t>
      </w:r>
    </w:p>
    <w:p w14:paraId="56E1E9BB" w14:textId="77777777" w:rsidR="002F21E0" w:rsidRDefault="00000000">
      <w:pPr>
        <w:pStyle w:val="ListBullet"/>
      </w:pPr>
      <w:r>
        <w:t>Business owner and security owner approve restart.</w:t>
      </w:r>
    </w:p>
    <w:p w14:paraId="33D08393" w14:textId="77777777" w:rsidR="002F21E0" w:rsidRDefault="00000000">
      <w:pPr>
        <w:pStyle w:val="Heading2"/>
      </w:pPr>
      <w:r>
        <w:t>Primary references</w:t>
      </w:r>
    </w:p>
    <w:p w14:paraId="615473AB" w14:textId="77777777" w:rsidR="002F21E0" w:rsidRDefault="00000000" w:rsidP="00BE2D52">
      <w:pPr>
        <w:pStyle w:val="ListParagraph"/>
        <w:numPr>
          <w:ilvl w:val="0"/>
          <w:numId w:val="10"/>
        </w:numPr>
        <w:spacing w:line="240" w:lineRule="auto"/>
      </w:pPr>
      <w:r w:rsidRPr="00BE2D52">
        <w:rPr>
          <w:b/>
        </w:rPr>
        <w:t xml:space="preserve">Colorado SB24-205 Consumer Protections for Artificial Intelligence: </w:t>
      </w:r>
      <w:r>
        <w:t>https://leg.colorado.gov/bills/sb24-205</w:t>
      </w:r>
    </w:p>
    <w:p w14:paraId="7FE65C15" w14:textId="77777777" w:rsidR="002F21E0" w:rsidRDefault="00000000" w:rsidP="00BE2D52">
      <w:pPr>
        <w:pStyle w:val="ListParagraph"/>
        <w:numPr>
          <w:ilvl w:val="0"/>
          <w:numId w:val="10"/>
        </w:numPr>
        <w:spacing w:line="240" w:lineRule="auto"/>
      </w:pPr>
      <w:r w:rsidRPr="00BE2D52">
        <w:rPr>
          <w:b/>
        </w:rPr>
        <w:t xml:space="preserve">NIST AI Risk Management Framework 1.0: </w:t>
      </w:r>
      <w:r>
        <w:t>https://www.nist.gov/publications/artificial-intelligence-risk-management-framework-ai-rmf-10</w:t>
      </w:r>
    </w:p>
    <w:p w14:paraId="43678039" w14:textId="77777777" w:rsidR="002F21E0" w:rsidRDefault="00000000" w:rsidP="00BE2D52">
      <w:pPr>
        <w:pStyle w:val="ListParagraph"/>
        <w:numPr>
          <w:ilvl w:val="0"/>
          <w:numId w:val="10"/>
        </w:numPr>
        <w:spacing w:line="240" w:lineRule="auto"/>
      </w:pPr>
      <w:r w:rsidRPr="00BE2D52">
        <w:rPr>
          <w:b/>
        </w:rPr>
        <w:t xml:space="preserve">NIST AI RMF Playbook and resources: </w:t>
      </w:r>
      <w:r>
        <w:t>https://www.nist.gov/itl/ai-risk-management-framework</w:t>
      </w:r>
    </w:p>
    <w:p w14:paraId="74AEE870" w14:textId="77777777" w:rsidR="002F21E0" w:rsidRDefault="00000000" w:rsidP="00BE2D52">
      <w:pPr>
        <w:pStyle w:val="ListParagraph"/>
        <w:numPr>
          <w:ilvl w:val="0"/>
          <w:numId w:val="10"/>
        </w:numPr>
        <w:spacing w:line="240" w:lineRule="auto"/>
      </w:pPr>
      <w:r w:rsidRPr="00BE2D52">
        <w:rPr>
          <w:b/>
        </w:rPr>
        <w:t xml:space="preserve">NIST AI RMF Generative AI Profile: </w:t>
      </w:r>
      <w:r>
        <w:t>https://www.nist.gov/publications/artificial-intelligence-risk-management-framework-generative-artificial-intelligence</w:t>
      </w:r>
    </w:p>
    <w:p w14:paraId="751819CE" w14:textId="77777777" w:rsidR="002F21E0" w:rsidRDefault="00000000" w:rsidP="00BE2D52">
      <w:pPr>
        <w:pStyle w:val="ListParagraph"/>
        <w:numPr>
          <w:ilvl w:val="0"/>
          <w:numId w:val="10"/>
        </w:numPr>
        <w:spacing w:line="240" w:lineRule="auto"/>
      </w:pPr>
      <w:r w:rsidRPr="00BE2D52">
        <w:rPr>
          <w:b/>
        </w:rPr>
        <w:t xml:space="preserve">ISO/IEC 42001:2023 information page: </w:t>
      </w:r>
      <w:r>
        <w:t>https://www.iso.org/standard/81230.html</w:t>
      </w:r>
    </w:p>
    <w:p w14:paraId="38A2DD43" w14:textId="77777777" w:rsidR="002F21E0" w:rsidRDefault="00000000" w:rsidP="00BE2D52">
      <w:pPr>
        <w:pStyle w:val="ListParagraph"/>
        <w:numPr>
          <w:ilvl w:val="0"/>
          <w:numId w:val="10"/>
        </w:numPr>
        <w:spacing w:line="240" w:lineRule="auto"/>
      </w:pPr>
      <w:r w:rsidRPr="00BE2D52">
        <w:rPr>
          <w:b/>
        </w:rPr>
        <w:t xml:space="preserve">OWASP Top 10 for Large Language Model Applications: </w:t>
      </w:r>
      <w:r>
        <w:t>https://owasp.org/www-project-top-10-for-large-language-model-applications/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0080"/>
      </w:tblGrid>
      <w:tr w:rsidR="002F21E0" w14:paraId="6DCCABD5" w14:textId="77777777">
        <w:trPr>
          <w:jc w:val="center"/>
        </w:trPr>
        <w:tc>
          <w:tcPr>
            <w:tcW w:w="10080" w:type="dxa"/>
            <w:tcBorders>
              <w:top w:val="single" w:sz="6" w:space="0" w:color="BFDBFE"/>
              <w:left w:val="single" w:sz="6" w:space="0" w:color="BFDBFE"/>
              <w:bottom w:val="single" w:sz="6" w:space="0" w:color="BFDBFE"/>
              <w:right w:val="single" w:sz="6" w:space="0" w:color="BFDBFE"/>
            </w:tcBorders>
            <w:shd w:val="clear" w:color="auto" w:fill="EFF6FF"/>
          </w:tcPr>
          <w:p w14:paraId="5B0F1CB1" w14:textId="77777777" w:rsidR="002F21E0" w:rsidRDefault="00000000">
            <w:r>
              <w:rPr>
                <w:b/>
                <w:color w:val="1E40AF"/>
              </w:rPr>
              <w:t xml:space="preserve">Legal and compliance limitation: </w:t>
            </w:r>
            <w:r>
              <w:t>This artifact is informational only. It is not legal advice, an audit report, a certification document, or a guarantee of compliance. Validate with qualified counsel and internal governance owners before relying on it.</w:t>
            </w:r>
          </w:p>
        </w:tc>
      </w:tr>
    </w:tbl>
    <w:p w14:paraId="5FE8FC0B" w14:textId="77777777" w:rsidR="002F21E0" w:rsidRDefault="002F21E0"/>
    <w:sectPr w:rsidR="002F21E0" w:rsidSect="00034616">
      <w:pgSz w:w="12240" w:h="15840"/>
      <w:pgMar w:top="1008" w:right="1080" w:bottom="1008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A7D6529"/>
    <w:multiLevelType w:val="hybridMultilevel"/>
    <w:tmpl w:val="43C08E3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07904846">
    <w:abstractNumId w:val="8"/>
  </w:num>
  <w:num w:numId="2" w16cid:durableId="138503617">
    <w:abstractNumId w:val="6"/>
  </w:num>
  <w:num w:numId="3" w16cid:durableId="115678584">
    <w:abstractNumId w:val="5"/>
  </w:num>
  <w:num w:numId="4" w16cid:durableId="1699816896">
    <w:abstractNumId w:val="4"/>
  </w:num>
  <w:num w:numId="5" w16cid:durableId="1297293598">
    <w:abstractNumId w:val="7"/>
  </w:num>
  <w:num w:numId="6" w16cid:durableId="1856993605">
    <w:abstractNumId w:val="3"/>
  </w:num>
  <w:num w:numId="7" w16cid:durableId="294214831">
    <w:abstractNumId w:val="2"/>
  </w:num>
  <w:num w:numId="8" w16cid:durableId="249699589">
    <w:abstractNumId w:val="1"/>
  </w:num>
  <w:num w:numId="9" w16cid:durableId="574978085">
    <w:abstractNumId w:val="0"/>
  </w:num>
  <w:num w:numId="10" w16cid:durableId="176869676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2F21E0"/>
    <w:rsid w:val="00326F90"/>
    <w:rsid w:val="00953BD4"/>
    <w:rsid w:val="00AA1D8D"/>
    <w:rsid w:val="00B47730"/>
    <w:rsid w:val="00BE2D52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3610009"/>
  <w14:defaultImageDpi w14:val="300"/>
  <w15:docId w15:val="{B9EA8037-83D6-4495-BC0D-68EF2B86A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Calibri" w:hAnsi="Calibri"/>
      <w:color w:val="0F172A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1E2B4D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1E2B4D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1E2B4D"/>
      <w:sz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352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2359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Abhishek G Sharma</cp:lastModifiedBy>
  <cp:revision>2</cp:revision>
  <dcterms:created xsi:type="dcterms:W3CDTF">2013-12-23T23:15:00Z</dcterms:created>
  <dcterms:modified xsi:type="dcterms:W3CDTF">2026-04-27T16:57:00Z</dcterms:modified>
  <cp:category/>
</cp:coreProperties>
</file>