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84EE8" w14:textId="77777777" w:rsidR="0043488F" w:rsidRDefault="0043488F">
      <w:pPr>
        <w:spacing w:before="600"/>
      </w:pPr>
    </w:p>
    <w:p w14:paraId="2397DF4B" w14:textId="77777777" w:rsidR="0043488F" w:rsidRDefault="00000000">
      <w:pPr>
        <w:jc w:val="center"/>
      </w:pPr>
      <w:r>
        <w:rPr>
          <w:noProof/>
        </w:rPr>
        <w:drawing>
          <wp:inline distT="0" distB="0" distL="0" distR="0" wp14:anchorId="0D1DF2D0" wp14:editId="50F8BFAC">
            <wp:extent cx="1333500" cy="1228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1333500" cy="1228725"/>
                    </a:xfrm>
                    <a:prstGeom prst="rect">
                      <a:avLst/>
                    </a:prstGeom>
                  </pic:spPr>
                </pic:pic>
              </a:graphicData>
            </a:graphic>
          </wp:inline>
        </w:drawing>
      </w:r>
    </w:p>
    <w:p w14:paraId="145DFEE4" w14:textId="77777777" w:rsidR="0043488F" w:rsidRDefault="0043488F">
      <w:pPr>
        <w:spacing w:before="200"/>
      </w:pPr>
    </w:p>
    <w:p w14:paraId="75081E9B" w14:textId="77777777" w:rsidR="0043488F" w:rsidRDefault="00000000">
      <w:pPr>
        <w:spacing w:after="80"/>
        <w:jc w:val="center"/>
      </w:pPr>
      <w:r>
        <w:rPr>
          <w:rFonts w:ascii="Georgia" w:eastAsia="Georgia" w:hAnsi="Georgia" w:cs="Georgia"/>
          <w:b/>
          <w:bCs/>
          <w:color w:val="1E2B4D"/>
          <w:spacing w:val="120"/>
        </w:rPr>
        <w:t>MOVE 78 INTERNATIONAL</w:t>
      </w:r>
    </w:p>
    <w:p w14:paraId="538B1FD6" w14:textId="77777777" w:rsidR="0043488F" w:rsidRDefault="0043488F">
      <w:pPr>
        <w:spacing w:before="400"/>
      </w:pPr>
    </w:p>
    <w:p w14:paraId="1B513494" w14:textId="77777777" w:rsidR="0043488F" w:rsidRDefault="0043488F">
      <w:pPr>
        <w:pBdr>
          <w:bottom w:val="single" w:sz="6" w:space="1" w:color="1E2B4D"/>
        </w:pBdr>
        <w:jc w:val="center"/>
      </w:pPr>
    </w:p>
    <w:p w14:paraId="155AD175" w14:textId="77777777" w:rsidR="0043488F" w:rsidRDefault="0043488F">
      <w:pPr>
        <w:spacing w:before="200"/>
      </w:pPr>
    </w:p>
    <w:p w14:paraId="5822381D" w14:textId="77777777" w:rsidR="0043488F" w:rsidRDefault="00000000">
      <w:pPr>
        <w:spacing w:after="120"/>
        <w:jc w:val="center"/>
      </w:pPr>
      <w:r>
        <w:rPr>
          <w:rFonts w:ascii="Georgia" w:eastAsia="Georgia" w:hAnsi="Georgia" w:cs="Georgia"/>
          <w:b/>
          <w:bCs/>
          <w:color w:val="1E2B4D"/>
          <w:sz w:val="44"/>
          <w:szCs w:val="44"/>
        </w:rPr>
        <w:t>AI ACCEPTABLE USE POLICY</w:t>
      </w:r>
    </w:p>
    <w:p w14:paraId="33CF9CBC" w14:textId="77777777" w:rsidR="0043488F" w:rsidRDefault="00000000">
      <w:pPr>
        <w:spacing w:after="200"/>
        <w:jc w:val="center"/>
      </w:pPr>
      <w:r>
        <w:rPr>
          <w:color w:val="6B7280"/>
          <w:sz w:val="24"/>
          <w:szCs w:val="24"/>
        </w:rPr>
        <w:t>Free Template — Customize and Deploy</w:t>
      </w:r>
    </w:p>
    <w:p w14:paraId="3EBC96DD" w14:textId="77777777" w:rsidR="0043488F" w:rsidRDefault="0043488F">
      <w:pPr>
        <w:pBdr>
          <w:bottom w:val="single" w:sz="6" w:space="1" w:color="1E2B4D"/>
        </w:pBdr>
        <w:jc w:val="center"/>
      </w:pPr>
    </w:p>
    <w:p w14:paraId="63F46976" w14:textId="77777777" w:rsidR="0043488F" w:rsidRDefault="0043488F">
      <w:pPr>
        <w:spacing w:before="400"/>
      </w:pPr>
    </w:p>
    <w:p w14:paraId="327EB127" w14:textId="77777777" w:rsidR="0043488F" w:rsidRPr="00496AEB" w:rsidRDefault="0043488F">
      <w:pPr>
        <w:spacing w:before="100"/>
        <w:rPr>
          <w:sz w:val="28"/>
          <w:szCs w:val="28"/>
        </w:rPr>
      </w:pPr>
    </w:p>
    <w:p w14:paraId="415F047A" w14:textId="77777777" w:rsidR="0043488F" w:rsidRPr="00496AEB" w:rsidRDefault="00000000">
      <w:pPr>
        <w:jc w:val="center"/>
        <w:rPr>
          <w:sz w:val="28"/>
          <w:szCs w:val="28"/>
        </w:rPr>
      </w:pPr>
      <w:r w:rsidRPr="00496AEB">
        <w:rPr>
          <w:b/>
          <w:bCs/>
          <w:color w:val="1E2B4D"/>
          <w:sz w:val="28"/>
          <w:szCs w:val="28"/>
        </w:rPr>
        <w:t xml:space="preserve">Version: </w:t>
      </w:r>
      <w:r w:rsidRPr="00496AEB">
        <w:rPr>
          <w:sz w:val="28"/>
          <w:szCs w:val="28"/>
        </w:rPr>
        <w:t>1.0</w:t>
      </w:r>
      <w:r w:rsidRPr="00496AEB">
        <w:rPr>
          <w:color w:val="E2E5EA"/>
          <w:sz w:val="28"/>
          <w:szCs w:val="28"/>
        </w:rPr>
        <w:t xml:space="preserve">     |     </w:t>
      </w:r>
      <w:r w:rsidRPr="00496AEB">
        <w:rPr>
          <w:b/>
          <w:bCs/>
          <w:color w:val="1E2B4D"/>
          <w:sz w:val="28"/>
          <w:szCs w:val="28"/>
        </w:rPr>
        <w:t xml:space="preserve">Date: </w:t>
      </w:r>
      <w:r w:rsidRPr="00496AEB">
        <w:rPr>
          <w:sz w:val="28"/>
          <w:szCs w:val="28"/>
        </w:rPr>
        <w:t>[DD Month YYYY]</w:t>
      </w:r>
    </w:p>
    <w:p w14:paraId="753B97F4" w14:textId="77777777" w:rsidR="0043488F" w:rsidRPr="00496AEB" w:rsidRDefault="0043488F">
      <w:pPr>
        <w:spacing w:before="100"/>
        <w:rPr>
          <w:sz w:val="28"/>
          <w:szCs w:val="28"/>
        </w:rPr>
      </w:pPr>
    </w:p>
    <w:p w14:paraId="0A417177" w14:textId="746339EF" w:rsidR="0043488F" w:rsidRPr="00496AEB" w:rsidRDefault="00733A62">
      <w:pPr>
        <w:jc w:val="center"/>
        <w:rPr>
          <w:sz w:val="28"/>
          <w:szCs w:val="28"/>
        </w:rPr>
      </w:pPr>
      <w:r w:rsidRPr="00496AEB">
        <w:rPr>
          <w:b/>
          <w:bCs/>
          <w:color w:val="1E2B4D"/>
          <w:sz w:val="28"/>
          <w:szCs w:val="28"/>
        </w:rPr>
        <w:t>AI Controls</w:t>
      </w:r>
      <w:r w:rsidR="00000000" w:rsidRPr="00496AEB">
        <w:rPr>
          <w:b/>
          <w:bCs/>
          <w:color w:val="1E2B4D"/>
          <w:sz w:val="28"/>
          <w:szCs w:val="28"/>
        </w:rPr>
        <w:t xml:space="preserve"> Toolkit (</w:t>
      </w:r>
      <w:r w:rsidR="00F66331" w:rsidRPr="00496AEB">
        <w:rPr>
          <w:b/>
          <w:bCs/>
          <w:color w:val="1E2B4D"/>
          <w:sz w:val="28"/>
          <w:szCs w:val="28"/>
        </w:rPr>
        <w:t>ACT)</w:t>
      </w:r>
      <w:r w:rsidR="00F66331" w:rsidRPr="00496AEB">
        <w:rPr>
          <w:color w:val="E2E5EA"/>
          <w:sz w:val="28"/>
          <w:szCs w:val="28"/>
        </w:rPr>
        <w:t xml:space="preserve"> </w:t>
      </w:r>
      <w:r w:rsidR="00000000" w:rsidRPr="00496AEB">
        <w:rPr>
          <w:color w:val="E2E5EA"/>
          <w:sz w:val="28"/>
          <w:szCs w:val="28"/>
        </w:rPr>
        <w:t xml:space="preserve">| </w:t>
      </w:r>
      <w:r w:rsidR="00000000" w:rsidRPr="00496AEB">
        <w:rPr>
          <w:sz w:val="28"/>
          <w:szCs w:val="28"/>
        </w:rPr>
        <w:t>Free Resource</w:t>
      </w:r>
    </w:p>
    <w:p w14:paraId="0BAAA598" w14:textId="77777777" w:rsidR="0043488F" w:rsidRDefault="0043488F">
      <w:pPr>
        <w:spacing w:before="600"/>
      </w:pPr>
    </w:p>
    <w:p w14:paraId="2C9F7703" w14:textId="77777777" w:rsidR="0043488F" w:rsidRDefault="00000000">
      <w:pPr>
        <w:shd w:val="clear" w:color="auto" w:fill="F7F8FA"/>
        <w:spacing w:before="80" w:after="80"/>
        <w:jc w:val="center"/>
      </w:pPr>
      <w:r>
        <w:rPr>
          <w:b/>
          <w:bCs/>
          <w:color w:val="1E2B4D"/>
          <w:sz w:val="18"/>
          <w:szCs w:val="18"/>
        </w:rPr>
        <w:t>Confidential — For Authorized Use Only</w:t>
      </w:r>
    </w:p>
    <w:p w14:paraId="7CA569CE" w14:textId="77777777" w:rsidR="0043488F" w:rsidRDefault="0043488F">
      <w:pPr>
        <w:spacing w:before="100"/>
      </w:pPr>
    </w:p>
    <w:p w14:paraId="70D8FB1E" w14:textId="77777777" w:rsidR="0043488F" w:rsidRDefault="00000000">
      <w:pPr>
        <w:jc w:val="center"/>
      </w:pPr>
      <w:r>
        <w:rPr>
          <w:i/>
          <w:iCs/>
          <w:color w:val="6B7280"/>
          <w:sz w:val="18"/>
          <w:szCs w:val="18"/>
        </w:rPr>
        <w:t>Informational only. Not legal advice.</w:t>
      </w:r>
    </w:p>
    <w:p w14:paraId="4F26B4B2" w14:textId="77777777" w:rsidR="0043488F" w:rsidRDefault="0043488F">
      <w:pPr>
        <w:spacing w:before="200"/>
      </w:pPr>
    </w:p>
    <w:p w14:paraId="1AEEE1D0" w14:textId="77777777" w:rsidR="0043488F" w:rsidRDefault="00000000">
      <w:pPr>
        <w:jc w:val="center"/>
      </w:pPr>
      <w:r>
        <w:rPr>
          <w:color w:val="6B7280"/>
          <w:sz w:val="16"/>
          <w:szCs w:val="16"/>
        </w:rPr>
        <w:t>© 2026 Move 78 International Limited. All rights reserved.</w:t>
      </w:r>
    </w:p>
    <w:p w14:paraId="7EFAC1C3" w14:textId="77777777" w:rsidR="00230C6B" w:rsidRPr="00230C6B" w:rsidRDefault="00230C6B" w:rsidP="00230C6B">
      <w:pPr>
        <w:jc w:val="center"/>
        <w:rPr>
          <w:rStyle w:val="Hyperlink"/>
          <w:sz w:val="16"/>
          <w:szCs w:val="16"/>
        </w:rPr>
      </w:pPr>
      <w:hyperlink r:id="rId8" w:history="1">
        <w:r w:rsidRPr="00425858">
          <w:rPr>
            <w:rStyle w:val="Hyperlink"/>
            <w:sz w:val="16"/>
            <w:szCs w:val="16"/>
          </w:rPr>
          <w:t>www.move78int.com</w:t>
        </w:r>
      </w:hyperlink>
      <w:r>
        <w:t xml:space="preserve"> | </w:t>
      </w:r>
      <w:r w:rsidRPr="00230C6B">
        <w:rPr>
          <w:rStyle w:val="Hyperlink"/>
          <w:sz w:val="16"/>
          <w:szCs w:val="16"/>
        </w:rPr>
        <w:t>contact@move78int.com</w:t>
      </w:r>
    </w:p>
    <w:p w14:paraId="61E2EDD7" w14:textId="10CE42F3" w:rsidR="00230C6B" w:rsidRDefault="00230C6B" w:rsidP="00230C6B">
      <w:pPr>
        <w:jc w:val="center"/>
        <w:sectPr w:rsidR="00230C6B">
          <w:pgSz w:w="12240" w:h="15840"/>
          <w:pgMar w:top="1440" w:right="1440" w:bottom="1440" w:left="1440" w:header="708" w:footer="708" w:gutter="0"/>
          <w:cols w:space="720"/>
          <w:titlePg/>
          <w:docGrid w:linePitch="360"/>
        </w:sectPr>
      </w:pPr>
    </w:p>
    <w:p w14:paraId="59CB4099" w14:textId="77777777" w:rsidR="0043488F" w:rsidRDefault="00000000">
      <w:pPr>
        <w:pStyle w:val="Heading1"/>
      </w:pPr>
      <w:r>
        <w:lastRenderedPageBreak/>
        <w:t>AI Acceptable Use Policy</w:t>
      </w:r>
    </w:p>
    <w:p w14:paraId="657A1235" w14:textId="77777777" w:rsidR="0043488F" w:rsidRDefault="0043488F">
      <w:pPr>
        <w:spacing w:before="200"/>
      </w:pPr>
    </w:p>
    <w:p w14:paraId="17197949" w14:textId="77777777" w:rsidR="0043488F" w:rsidRDefault="00000000">
      <w:r>
        <w:t xml:space="preserve">Organization: </w:t>
      </w:r>
      <w:r>
        <w:rPr>
          <w:b/>
          <w:bCs/>
          <w:color w:val="DC2626"/>
        </w:rPr>
        <w:t>[ORGANIZATION NAME]</w:t>
      </w:r>
    </w:p>
    <w:p w14:paraId="474EACED" w14:textId="77777777" w:rsidR="0043488F" w:rsidRDefault="00000000">
      <w:r>
        <w:t xml:space="preserve">Effective Date: </w:t>
      </w:r>
      <w:r>
        <w:rPr>
          <w:b/>
          <w:bCs/>
          <w:color w:val="DC2626"/>
        </w:rPr>
        <w:t>[DATE]</w:t>
      </w:r>
    </w:p>
    <w:p w14:paraId="304CDDE9" w14:textId="77777777" w:rsidR="0043488F" w:rsidRDefault="00000000">
      <w:r>
        <w:t xml:space="preserve">Policy Owner: </w:t>
      </w:r>
      <w:r>
        <w:rPr>
          <w:b/>
          <w:bCs/>
          <w:color w:val="DC2626"/>
        </w:rPr>
        <w:t>[CISO/DPO NAME]</w:t>
      </w:r>
    </w:p>
    <w:p w14:paraId="0FE9F702" w14:textId="77777777" w:rsidR="0043488F" w:rsidRDefault="00000000">
      <w:r>
        <w:t xml:space="preserve">Version: </w:t>
      </w:r>
      <w:r>
        <w:rPr>
          <w:b/>
          <w:bCs/>
          <w:color w:val="DC2626"/>
        </w:rPr>
        <w:t>[1.0]</w:t>
      </w:r>
    </w:p>
    <w:p w14:paraId="1DB5C685" w14:textId="77777777" w:rsidR="0043488F" w:rsidRDefault="0043488F">
      <w:pPr>
        <w:spacing w:before="200"/>
      </w:pPr>
    </w:p>
    <w:p w14:paraId="618D9808" w14:textId="77777777" w:rsidR="0043488F" w:rsidRDefault="00000000">
      <w:pPr>
        <w:pStyle w:val="Heading2"/>
      </w:pPr>
      <w:r>
        <w:t>1. Purpose &amp; Scope</w:t>
      </w:r>
    </w:p>
    <w:p w14:paraId="100E6232" w14:textId="77777777" w:rsidR="0043488F" w:rsidRDefault="00000000">
      <w:r>
        <w:t xml:space="preserve">This policy governs the use of artificial intelligence (AI) tools by all employees, contractors, and third parties acting on behalf of </w:t>
      </w:r>
      <w:r>
        <w:rPr>
          <w:b/>
          <w:bCs/>
          <w:color w:val="DC2626"/>
        </w:rPr>
        <w:t>[ORGANIZATION NAME]</w:t>
      </w:r>
      <w:r>
        <w:t>. For the purposes of this policy, an “AI tool” includes any system that uses machine learning, large language models, generative AI, autonomous agents, or algorithmic decision-making capabilities.</w:t>
      </w:r>
    </w:p>
    <w:p w14:paraId="12D9D23D" w14:textId="77777777" w:rsidR="0043488F" w:rsidRDefault="00000000">
      <w:r>
        <w:t xml:space="preserve">This policy applies to AI tools provided by the organization, personal AI tools used for work purposes, AI features embedded within approved business applications, and any third-party AI services accessed </w:t>
      </w:r>
      <w:proofErr w:type="gramStart"/>
      <w:r>
        <w:t>in the course of</w:t>
      </w:r>
      <w:proofErr w:type="gramEnd"/>
      <w:r>
        <w:t xml:space="preserve"> business activities.</w:t>
      </w:r>
    </w:p>
    <w:p w14:paraId="496318DE" w14:textId="77777777" w:rsidR="0043488F" w:rsidRDefault="00000000">
      <w:r>
        <w:t>All personnel are expected to read, understand, and comply with this policy. Non-compliance will be handled in accordance with existing disciplinary procedures.</w:t>
      </w:r>
    </w:p>
    <w:p w14:paraId="79BDEB04" w14:textId="77777777" w:rsidR="0043488F" w:rsidRDefault="00000000">
      <w:pPr>
        <w:pStyle w:val="Heading2"/>
      </w:pPr>
      <w:r>
        <w:t>2. Acceptable Uses</w:t>
      </w:r>
    </w:p>
    <w:p w14:paraId="05EDE7A7" w14:textId="77777777" w:rsidR="0043488F" w:rsidRDefault="00000000">
      <w:r>
        <w:t>The following AI use cases are permitted, provided the user maintains awareness of data sensitivity and exercises professional judgment over all AI-generated outputs:</w:t>
      </w:r>
    </w:p>
    <w:p w14:paraId="12DC9410" w14:textId="77777777" w:rsidR="0043488F" w:rsidRDefault="00000000">
      <w:pPr>
        <w:pStyle w:val="ListParagraph"/>
        <w:numPr>
          <w:ilvl w:val="0"/>
          <w:numId w:val="1"/>
        </w:numPr>
      </w:pPr>
      <w:r>
        <w:t>Drafting and editing internal documents, reports, and communications</w:t>
      </w:r>
    </w:p>
    <w:p w14:paraId="3328EB9A" w14:textId="77777777" w:rsidR="0043488F" w:rsidRDefault="00000000">
      <w:pPr>
        <w:pStyle w:val="ListParagraph"/>
        <w:numPr>
          <w:ilvl w:val="0"/>
          <w:numId w:val="1"/>
        </w:numPr>
      </w:pPr>
      <w:r>
        <w:t>Code assistance, review, and debugging using approved AI coding tools</w:t>
      </w:r>
    </w:p>
    <w:p w14:paraId="43E338DA" w14:textId="77777777" w:rsidR="0043488F" w:rsidRDefault="00000000">
      <w:pPr>
        <w:pStyle w:val="ListParagraph"/>
        <w:numPr>
          <w:ilvl w:val="0"/>
          <w:numId w:val="1"/>
        </w:numPr>
      </w:pPr>
      <w:r>
        <w:t>Data analysis and summarization on non-sensitive, non-confidential datasets</w:t>
      </w:r>
    </w:p>
    <w:p w14:paraId="7F08EF17" w14:textId="77777777" w:rsidR="0043488F" w:rsidRDefault="00000000">
      <w:pPr>
        <w:pStyle w:val="ListParagraph"/>
        <w:numPr>
          <w:ilvl w:val="0"/>
          <w:numId w:val="1"/>
        </w:numPr>
      </w:pPr>
      <w:r>
        <w:t>Research, brainstorming, and information gathering from public sources</w:t>
      </w:r>
    </w:p>
    <w:p w14:paraId="14C934C7" w14:textId="77777777" w:rsidR="0043488F" w:rsidRDefault="00000000">
      <w:pPr>
        <w:pStyle w:val="ListParagraph"/>
        <w:numPr>
          <w:ilvl w:val="0"/>
          <w:numId w:val="1"/>
        </w:numPr>
      </w:pPr>
      <w:r>
        <w:t xml:space="preserve">Any AI tool processing company data requires prior notification to </w:t>
      </w:r>
      <w:r>
        <w:rPr>
          <w:b/>
          <w:bCs/>
          <w:color w:val="DC2626"/>
        </w:rPr>
        <w:t>[MANAGER/DEPARTMENT HEAD]</w:t>
      </w:r>
    </w:p>
    <w:p w14:paraId="05FA6DAB" w14:textId="77777777" w:rsidR="0043488F" w:rsidRDefault="00000000">
      <w:pPr>
        <w:pStyle w:val="Heading2"/>
      </w:pPr>
      <w:r>
        <w:t>3. Prohibited Uses</w:t>
      </w:r>
    </w:p>
    <w:p w14:paraId="734DF583" w14:textId="77777777" w:rsidR="0043488F" w:rsidRDefault="00000000">
      <w:r>
        <w:t>The following activities are strictly prohibited without explicit prior authorization:</w:t>
      </w:r>
    </w:p>
    <w:p w14:paraId="10D08BDE" w14:textId="77777777" w:rsidR="0043488F" w:rsidRDefault="00000000">
      <w:pPr>
        <w:pStyle w:val="ListParagraph"/>
        <w:numPr>
          <w:ilvl w:val="0"/>
          <w:numId w:val="1"/>
        </w:numPr>
      </w:pPr>
      <w:r>
        <w:t xml:space="preserve">Processing personal data (PII, employee records, customer data) through any AI tool without written approval from </w:t>
      </w:r>
      <w:r>
        <w:rPr>
          <w:b/>
          <w:bCs/>
          <w:color w:val="DC2626"/>
        </w:rPr>
        <w:t>[DPO/PRIVACY OFFICER]</w:t>
      </w:r>
    </w:p>
    <w:p w14:paraId="2B927F11" w14:textId="77777777" w:rsidR="0043488F" w:rsidRDefault="00000000">
      <w:pPr>
        <w:pStyle w:val="ListParagraph"/>
        <w:numPr>
          <w:ilvl w:val="0"/>
          <w:numId w:val="1"/>
        </w:numPr>
      </w:pPr>
      <w:r>
        <w:t>Making or relying on automated decisions about customers, employees, or applicants without human review and sign-off</w:t>
      </w:r>
    </w:p>
    <w:p w14:paraId="2E218A97" w14:textId="77777777" w:rsidR="0043488F" w:rsidRDefault="00000000">
      <w:pPr>
        <w:pStyle w:val="ListParagraph"/>
        <w:numPr>
          <w:ilvl w:val="0"/>
          <w:numId w:val="1"/>
        </w:numPr>
      </w:pPr>
      <w:r>
        <w:t>Uploading confidential, proprietary, or trade-secret information to any AI platform not formally approved by IT</w:t>
      </w:r>
    </w:p>
    <w:p w14:paraId="57CE8D68" w14:textId="77777777" w:rsidR="0043488F" w:rsidRDefault="00000000">
      <w:pPr>
        <w:pStyle w:val="ListParagraph"/>
        <w:numPr>
          <w:ilvl w:val="0"/>
          <w:numId w:val="1"/>
        </w:numPr>
      </w:pPr>
      <w:r>
        <w:t>Deploying autonomous AI agents (including open-source agents) on company systems without IT security review and written authorization</w:t>
      </w:r>
    </w:p>
    <w:p w14:paraId="2A13C4B8" w14:textId="77777777" w:rsidR="0043488F" w:rsidRDefault="00000000">
      <w:pPr>
        <w:pStyle w:val="ListParagraph"/>
        <w:numPr>
          <w:ilvl w:val="0"/>
          <w:numId w:val="1"/>
        </w:numPr>
      </w:pPr>
      <w:r>
        <w:t>Using AI-generated outputs as legal, financial, medical, or regulatory advice without validation by a qualified professional</w:t>
      </w:r>
    </w:p>
    <w:p w14:paraId="536E9CEF" w14:textId="77777777" w:rsidR="0043488F" w:rsidRDefault="00000000">
      <w:pPr>
        <w:pStyle w:val="ListParagraph"/>
        <w:numPr>
          <w:ilvl w:val="0"/>
          <w:numId w:val="1"/>
        </w:numPr>
      </w:pPr>
      <w:r>
        <w:t xml:space="preserve">Installing or using AI tools not listed in </w:t>
      </w:r>
      <w:r>
        <w:rPr>
          <w:b/>
          <w:bCs/>
          <w:color w:val="DC2626"/>
        </w:rPr>
        <w:t>[ORGANIZATION NAME]</w:t>
      </w:r>
      <w:r>
        <w:t>’s approved software inventory</w:t>
      </w:r>
    </w:p>
    <w:p w14:paraId="558771B6" w14:textId="77777777" w:rsidR="0043488F" w:rsidRDefault="00000000">
      <w:pPr>
        <w:pStyle w:val="Heading2"/>
      </w:pPr>
      <w:r>
        <w:lastRenderedPageBreak/>
        <w:t>4. Data Handling</w:t>
      </w:r>
    </w:p>
    <w:p w14:paraId="48223ABE" w14:textId="77777777" w:rsidR="0043488F" w:rsidRDefault="00000000">
      <w:pPr>
        <w:pStyle w:val="ListParagraph"/>
        <w:numPr>
          <w:ilvl w:val="0"/>
          <w:numId w:val="1"/>
        </w:numPr>
      </w:pPr>
      <w:r>
        <w:t>No confidential, sensitive, or personal data may be input to any AI tool without explicit authorization from the data owner and the privacy function.</w:t>
      </w:r>
    </w:p>
    <w:p w14:paraId="64346CE1" w14:textId="77777777" w:rsidR="0043488F" w:rsidRDefault="00000000">
      <w:pPr>
        <w:pStyle w:val="ListParagraph"/>
        <w:numPr>
          <w:ilvl w:val="0"/>
          <w:numId w:val="1"/>
        </w:numPr>
      </w:pPr>
      <w:r>
        <w:t>All AI-generated outputs intended for external distribution, customer communication, or regulatory submission must be reviewed and approved by a human before release.</w:t>
      </w:r>
    </w:p>
    <w:p w14:paraId="4A41D61E" w14:textId="77777777" w:rsidR="0043488F" w:rsidRDefault="00000000">
      <w:pPr>
        <w:pStyle w:val="ListParagraph"/>
        <w:numPr>
          <w:ilvl w:val="0"/>
          <w:numId w:val="1"/>
        </w:numPr>
      </w:pPr>
      <w:r>
        <w:t>Any AI tool that accesses, processes, or stores company data must be registered in the organization’s AI System Inventory and covered by an appropriate data processing agreement.</w:t>
      </w:r>
    </w:p>
    <w:p w14:paraId="5AC029B1" w14:textId="77777777" w:rsidR="0043488F" w:rsidRDefault="00000000">
      <w:pPr>
        <w:pStyle w:val="ListParagraph"/>
        <w:numPr>
          <w:ilvl w:val="0"/>
          <w:numId w:val="1"/>
        </w:numPr>
      </w:pPr>
      <w:r>
        <w:t xml:space="preserve">Questions about data classification or AI tool approval should be directed to </w:t>
      </w:r>
      <w:r>
        <w:rPr>
          <w:b/>
          <w:bCs/>
          <w:color w:val="DC2626"/>
        </w:rPr>
        <w:t>[CISO/DPO NAME]</w:t>
      </w:r>
      <w:r>
        <w:t xml:space="preserve"> at </w:t>
      </w:r>
      <w:r>
        <w:rPr>
          <w:b/>
          <w:bCs/>
          <w:color w:val="DC2626"/>
        </w:rPr>
        <w:t>[EMAIL ADDRESS]</w:t>
      </w:r>
      <w:r>
        <w:t>.</w:t>
      </w:r>
    </w:p>
    <w:p w14:paraId="190C619E" w14:textId="77777777" w:rsidR="0043488F" w:rsidRDefault="00000000">
      <w:pPr>
        <w:pStyle w:val="Heading2"/>
      </w:pPr>
      <w:r>
        <w:t>5. Reporting &amp; Enforcement</w:t>
      </w:r>
    </w:p>
    <w:p w14:paraId="0B09969C" w14:textId="77777777" w:rsidR="0043488F" w:rsidRDefault="00000000">
      <w:r>
        <w:t>All personnel must promptly report the following:</w:t>
      </w:r>
    </w:p>
    <w:p w14:paraId="09E39898" w14:textId="77777777" w:rsidR="0043488F" w:rsidRDefault="00000000">
      <w:pPr>
        <w:pStyle w:val="ListParagraph"/>
        <w:numPr>
          <w:ilvl w:val="0"/>
          <w:numId w:val="1"/>
        </w:numPr>
      </w:pPr>
      <w:r>
        <w:t>Unauthorized AI tool usage discovered on company systems or devices</w:t>
      </w:r>
    </w:p>
    <w:p w14:paraId="7B61C25A" w14:textId="77777777" w:rsidR="0043488F" w:rsidRDefault="00000000">
      <w:pPr>
        <w:pStyle w:val="ListParagraph"/>
        <w:numPr>
          <w:ilvl w:val="0"/>
          <w:numId w:val="1"/>
        </w:numPr>
      </w:pPr>
      <w:r>
        <w:t>Data incidents involving AI tools, including accidental submission of sensitive data to unapproved platforms</w:t>
      </w:r>
    </w:p>
    <w:p w14:paraId="7069ED4E" w14:textId="77777777" w:rsidR="0043488F" w:rsidRDefault="00000000">
      <w:pPr>
        <w:pStyle w:val="ListParagraph"/>
        <w:numPr>
          <w:ilvl w:val="0"/>
          <w:numId w:val="1"/>
        </w:numPr>
      </w:pPr>
      <w:r>
        <w:t>AI-generated outputs that appear inaccurate, biased, harmful, or that could negatively affect individuals</w:t>
      </w:r>
    </w:p>
    <w:p w14:paraId="2AC1B7DB" w14:textId="77777777" w:rsidR="0043488F" w:rsidRDefault="0043488F">
      <w:pPr>
        <w:spacing w:before="200"/>
      </w:pPr>
    </w:p>
    <w:p w14:paraId="64B72366" w14:textId="77777777" w:rsidR="0043488F" w:rsidRDefault="00000000">
      <w:r>
        <w:t xml:space="preserve">Report to: </w:t>
      </w:r>
      <w:r>
        <w:rPr>
          <w:b/>
          <w:bCs/>
          <w:color w:val="DC2626"/>
        </w:rPr>
        <w:t>[CISO/DPO NAME]</w:t>
      </w:r>
      <w:r>
        <w:t xml:space="preserve"> at </w:t>
      </w:r>
      <w:r>
        <w:rPr>
          <w:b/>
          <w:bCs/>
          <w:color w:val="DC2626"/>
        </w:rPr>
        <w:t>[EMAIL ADDRESS]</w:t>
      </w:r>
    </w:p>
    <w:p w14:paraId="60D5EDE6" w14:textId="77777777" w:rsidR="0043488F" w:rsidRDefault="00000000">
      <w:r>
        <w:t>Violations of this policy will be addressed through existing disciplinary procedures, up to and including termination of employment or contract. Intentional violations involving unauthorized data processing may also trigger regulatory notification obligations.</w:t>
      </w:r>
    </w:p>
    <w:p w14:paraId="0A147556" w14:textId="77777777" w:rsidR="0043488F" w:rsidRDefault="0043488F">
      <w:pPr>
        <w:spacing w:before="200"/>
      </w:pPr>
    </w:p>
    <w:p w14:paraId="4DE6237B" w14:textId="17A8B0C6" w:rsidR="0043488F" w:rsidRDefault="00000000">
      <w:pPr>
        <w:pBdr>
          <w:left w:val="single" w:sz="18" w:space="8" w:color="2B7A8C"/>
        </w:pBdr>
        <w:shd w:val="clear" w:color="auto" w:fill="F3F4F6"/>
        <w:spacing w:before="120" w:after="120"/>
        <w:ind w:left="240" w:right="240"/>
      </w:pPr>
      <w:r>
        <w:rPr>
          <w:sz w:val="20"/>
          <w:szCs w:val="20"/>
        </w:rPr>
        <w:t xml:space="preserve">Upgrade: This is a simplified AI Acceptable Use Policy. For comprehensive AI governance policies including oversight structure, incident response, risk assessment, and framework-aligned documentation, see the </w:t>
      </w:r>
      <w:r w:rsidR="00733A62">
        <w:rPr>
          <w:sz w:val="20"/>
          <w:szCs w:val="20"/>
        </w:rPr>
        <w:t>AI Controls</w:t>
      </w:r>
      <w:r>
        <w:rPr>
          <w:sz w:val="20"/>
          <w:szCs w:val="20"/>
        </w:rPr>
        <w:t xml:space="preserve"> Toolkit (ACT) at www.move78int.com/pricing.html</w:t>
      </w:r>
    </w:p>
    <w:p w14:paraId="10EC0B37" w14:textId="77777777" w:rsidR="0043488F" w:rsidRDefault="00000000">
      <w:r>
        <w:br w:type="page"/>
      </w:r>
    </w:p>
    <w:p w14:paraId="4A76F52D" w14:textId="77777777" w:rsidR="0043488F" w:rsidRDefault="00000000">
      <w:pPr>
        <w:pStyle w:val="Heading1"/>
      </w:pPr>
      <w:r>
        <w:lastRenderedPageBreak/>
        <w:t>Disclaimer &amp; Legal Notice</w:t>
      </w:r>
    </w:p>
    <w:p w14:paraId="50A8A207" w14:textId="77777777" w:rsidR="0043488F" w:rsidRDefault="0043488F">
      <w:pPr>
        <w:pBdr>
          <w:bottom w:val="single" w:sz="6" w:space="4" w:color="1E2B4D"/>
        </w:pBdr>
        <w:spacing w:after="300"/>
      </w:pPr>
    </w:p>
    <w:p w14:paraId="705CC8D9" w14:textId="77777777" w:rsidR="0043488F" w:rsidRDefault="00000000">
      <w:pPr>
        <w:pBdr>
          <w:left w:val="single" w:sz="8" w:space="8" w:color="1E2B4D"/>
        </w:pBdr>
        <w:spacing w:before="200" w:after="120"/>
        <w:ind w:left="240"/>
      </w:pPr>
      <w:r>
        <w:rPr>
          <w:b/>
          <w:bCs/>
          <w:color w:val="1E2B4D"/>
        </w:rPr>
        <w:t>Important Notice</w:t>
      </w:r>
    </w:p>
    <w:p w14:paraId="329212A9" w14:textId="77777777" w:rsidR="0043488F" w:rsidRDefault="00000000">
      <w:pPr>
        <w:pBdr>
          <w:left w:val="single" w:sz="8" w:space="8" w:color="1E2B4D"/>
        </w:pBdr>
        <w:spacing w:after="200"/>
        <w:ind w:left="240"/>
      </w:pPr>
      <w:r>
        <w:rPr>
          <w:sz w:val="20"/>
          <w:szCs w:val="20"/>
        </w:rPr>
        <w:t>This toolkit is an implementation reference tool designed to support cross-framework alignment for AI governance. It does not constitute legal, compliance, regulatory, security, audit, or professional advice. Use it as a high-level governance self-assessment and planning resource.</w:t>
      </w:r>
    </w:p>
    <w:p w14:paraId="28E2B18A" w14:textId="77777777" w:rsidR="0043488F" w:rsidRDefault="00000000">
      <w:pPr>
        <w:pBdr>
          <w:left w:val="single" w:sz="8" w:space="8" w:color="1E2B4D"/>
        </w:pBdr>
        <w:spacing w:before="200" w:after="120"/>
        <w:ind w:left="240"/>
      </w:pPr>
      <w:r>
        <w:rPr>
          <w:b/>
          <w:bCs/>
          <w:color w:val="1E2B4D"/>
        </w:rPr>
        <w:t>Professional Consultation Required</w:t>
      </w:r>
    </w:p>
    <w:p w14:paraId="1BC1D44D" w14:textId="77777777" w:rsidR="0043488F" w:rsidRDefault="00000000">
      <w:pPr>
        <w:pBdr>
          <w:left w:val="single" w:sz="8" w:space="8" w:color="1E2B4D"/>
        </w:pBdr>
        <w:spacing w:after="200"/>
        <w:ind w:left="240"/>
      </w:pPr>
      <w:r>
        <w:rPr>
          <w:sz w:val="20"/>
          <w:szCs w:val="20"/>
        </w:rPr>
        <w:t>Consult your legal, compliance, privacy, and information security teams before implementing changes. Requirements vary by jurisdiction, industry, data types, and use case.</w:t>
      </w:r>
    </w:p>
    <w:p w14:paraId="75FA474A" w14:textId="77777777" w:rsidR="0043488F" w:rsidRDefault="00000000">
      <w:pPr>
        <w:pBdr>
          <w:left w:val="single" w:sz="8" w:space="8" w:color="1E2B4D"/>
        </w:pBdr>
        <w:spacing w:before="200" w:after="120"/>
        <w:ind w:left="240"/>
      </w:pPr>
      <w:r>
        <w:rPr>
          <w:b/>
          <w:bCs/>
          <w:color w:val="1E2B4D"/>
        </w:rPr>
        <w:t>No Guarantee of Compliance</w:t>
      </w:r>
    </w:p>
    <w:p w14:paraId="1D8DE05D" w14:textId="77777777" w:rsidR="0043488F" w:rsidRDefault="00000000">
      <w:pPr>
        <w:pBdr>
          <w:left w:val="single" w:sz="8" w:space="8" w:color="1E2B4D"/>
        </w:pBdr>
        <w:spacing w:after="200"/>
        <w:ind w:left="240"/>
      </w:pPr>
      <w:r>
        <w:rPr>
          <w:sz w:val="20"/>
          <w:szCs w:val="20"/>
        </w:rPr>
        <w:t>Completion of this toolkit does not guarantee compliance with any law, regulation, or standard, including (but not limited to) ISO/IEC 42001, NIST AI RMF, Colorado AI Act (SB 24-205), GDPR, sector-specific regulations, or assurance frameworks such as SOC 2 / ISO 27001. Each organization remains responsible for its own compliance determinations and evidence.</w:t>
      </w:r>
    </w:p>
    <w:p w14:paraId="66E51AA3" w14:textId="77777777" w:rsidR="0043488F" w:rsidRDefault="00000000">
      <w:pPr>
        <w:pBdr>
          <w:left w:val="single" w:sz="8" w:space="8" w:color="1E2B4D"/>
        </w:pBdr>
        <w:spacing w:before="200" w:after="120"/>
        <w:ind w:left="240"/>
      </w:pPr>
      <w:r>
        <w:rPr>
          <w:b/>
          <w:bCs/>
          <w:color w:val="1E2B4D"/>
        </w:rPr>
        <w:t>Limitation of Liability</w:t>
      </w:r>
    </w:p>
    <w:p w14:paraId="7E3BCAA9" w14:textId="77777777" w:rsidR="0043488F" w:rsidRDefault="00000000">
      <w:pPr>
        <w:pBdr>
          <w:left w:val="single" w:sz="8" w:space="8" w:color="1E2B4D"/>
        </w:pBdr>
        <w:spacing w:after="200"/>
        <w:ind w:left="240"/>
      </w:pPr>
      <w:r>
        <w:rPr>
          <w:sz w:val="20"/>
          <w:szCs w:val="20"/>
        </w:rPr>
        <w:t>To the maximum extent permitted by law, the creators disclaim all warranties and are not liable for any loss or damages arising from use of this toolkit.</w:t>
      </w:r>
    </w:p>
    <w:p w14:paraId="56DAA15D" w14:textId="77777777" w:rsidR="0043488F" w:rsidRDefault="00000000">
      <w:pPr>
        <w:pBdr>
          <w:left w:val="single" w:sz="8" w:space="8" w:color="1E2B4D"/>
        </w:pBdr>
        <w:spacing w:before="200" w:after="120"/>
        <w:ind w:left="240"/>
      </w:pPr>
      <w:r>
        <w:rPr>
          <w:b/>
          <w:bCs/>
          <w:color w:val="1E2B4D"/>
        </w:rPr>
        <w:t>Source Standards</w:t>
      </w:r>
    </w:p>
    <w:p w14:paraId="1C6D6340" w14:textId="77777777" w:rsidR="0043488F" w:rsidRDefault="00000000">
      <w:pPr>
        <w:pBdr>
          <w:left w:val="single" w:sz="8" w:space="8" w:color="1E2B4D"/>
        </w:pBdr>
        <w:spacing w:after="80"/>
        <w:ind w:left="240"/>
      </w:pPr>
      <w:r>
        <w:rPr>
          <w:sz w:val="20"/>
          <w:szCs w:val="20"/>
        </w:rPr>
        <w:t>All ISO/IEC 42001:2023 clause references are derived from the published standard. All NIST AI RMF references are derived from NIST AI 100-1 (January 2023). All NIST AI 600-1 references are derived from the published Generative AI Profile (July 2024). Colorado AI Act references are based on SB 24-205 as amended by SB 25B-004 (enforcement date: June 30, 2026).</w:t>
      </w:r>
    </w:p>
    <w:p w14:paraId="2B854865" w14:textId="77777777" w:rsidR="0043488F" w:rsidRDefault="0043488F">
      <w:pPr>
        <w:spacing w:before="400"/>
      </w:pPr>
    </w:p>
    <w:p w14:paraId="333722BC" w14:textId="77777777" w:rsidR="0043488F" w:rsidRDefault="0043488F">
      <w:pPr>
        <w:pBdr>
          <w:bottom w:val="single" w:sz="4" w:space="4" w:color="E2E5EA"/>
        </w:pBdr>
      </w:pPr>
    </w:p>
    <w:p w14:paraId="653C4A2E" w14:textId="77777777" w:rsidR="0043488F" w:rsidRDefault="0043488F">
      <w:pPr>
        <w:spacing w:before="200"/>
      </w:pPr>
    </w:p>
    <w:p w14:paraId="54F6B647" w14:textId="77777777" w:rsidR="0043488F" w:rsidRDefault="00000000">
      <w:pPr>
        <w:spacing w:after="80"/>
        <w:jc w:val="center"/>
      </w:pPr>
      <w:r>
        <w:rPr>
          <w:color w:val="6B7280"/>
          <w:sz w:val="18"/>
          <w:szCs w:val="18"/>
        </w:rPr>
        <w:t>© 2026 Move 78 International Limited. All rights reserved.</w:t>
      </w:r>
    </w:p>
    <w:p w14:paraId="17BBAD65" w14:textId="77777777" w:rsidR="0043488F" w:rsidRDefault="00000000">
      <w:pPr>
        <w:spacing w:after="80"/>
        <w:jc w:val="center"/>
      </w:pPr>
      <w:r>
        <w:rPr>
          <w:color w:val="6B7280"/>
          <w:sz w:val="16"/>
          <w:szCs w:val="16"/>
        </w:rPr>
        <w:t>Product names and trademarks referenced are the property of their respective owners.</w:t>
      </w:r>
    </w:p>
    <w:p w14:paraId="15F7A8E0" w14:textId="77777777" w:rsidR="0043488F" w:rsidRDefault="00000000">
      <w:pPr>
        <w:spacing w:after="80"/>
        <w:jc w:val="center"/>
      </w:pPr>
      <w:r>
        <w:rPr>
          <w:color w:val="6B7280"/>
          <w:sz w:val="16"/>
          <w:szCs w:val="16"/>
        </w:rPr>
        <w:t>Internal use permitted. Redistribution of the unmodified file permitted with attribution. No resale.</w:t>
      </w:r>
    </w:p>
    <w:p w14:paraId="59166128" w14:textId="77777777" w:rsidR="0043488F" w:rsidRDefault="0043488F">
      <w:pPr>
        <w:spacing w:before="200"/>
      </w:pPr>
    </w:p>
    <w:p w14:paraId="4A9A15D2" w14:textId="77777777" w:rsidR="0043488F" w:rsidRDefault="00000000">
      <w:pPr>
        <w:jc w:val="center"/>
      </w:pPr>
      <w:r>
        <w:rPr>
          <w:noProof/>
        </w:rPr>
        <w:drawing>
          <wp:inline distT="0" distB="0" distL="0" distR="0" wp14:anchorId="71DE0678" wp14:editId="6DAB1364">
            <wp:extent cx="762000" cy="704850"/>
            <wp:effectExtent l="0" t="0" r="0" b="0"/>
            <wp:docPr id="1754027968" name="Picture 1754027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762000" cy="704850"/>
                    </a:xfrm>
                    <a:prstGeom prst="rect">
                      <a:avLst/>
                    </a:prstGeom>
                  </pic:spPr>
                </pic:pic>
              </a:graphicData>
            </a:graphic>
          </wp:inline>
        </w:drawing>
      </w:r>
    </w:p>
    <w:p w14:paraId="1443EE69" w14:textId="77777777" w:rsidR="0043488F" w:rsidRDefault="00000000">
      <w:pPr>
        <w:jc w:val="center"/>
      </w:pPr>
      <w:r>
        <w:rPr>
          <w:color w:val="2B7A8C"/>
          <w:sz w:val="16"/>
          <w:szCs w:val="16"/>
        </w:rPr>
        <w:t>www.move78int.com</w:t>
      </w:r>
    </w:p>
    <w:sectPr w:rsidR="0043488F">
      <w:headerReference w:type="default" r:id="rId9"/>
      <w:footerReference w:type="default" r:id="rId10"/>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BCE0C" w14:textId="77777777" w:rsidR="00D20F91" w:rsidRDefault="00D20F91">
      <w:r>
        <w:separator/>
      </w:r>
    </w:p>
  </w:endnote>
  <w:endnote w:type="continuationSeparator" w:id="0">
    <w:p w14:paraId="55C0D1EB" w14:textId="77777777" w:rsidR="00D20F91" w:rsidRDefault="00D20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1AB9C" w14:textId="11010B63" w:rsidR="0043488F" w:rsidRPr="0031648B" w:rsidRDefault="00000000" w:rsidP="0031648B">
    <w:pPr>
      <w:pBdr>
        <w:top w:val="single" w:sz="4" w:space="4" w:color="1E2B4D"/>
      </w:pBdr>
      <w:tabs>
        <w:tab w:val="right" w:pos="9026"/>
      </w:tabs>
      <w:rPr>
        <w:color w:val="6B7280"/>
        <w:sz w:val="14"/>
        <w:szCs w:val="14"/>
      </w:rPr>
    </w:pPr>
    <w:r>
      <w:rPr>
        <w:color w:val="6B7280"/>
        <w:sz w:val="14"/>
        <w:szCs w:val="14"/>
      </w:rPr>
      <w:t xml:space="preserve">© 2026 Move 78 International </w:t>
    </w:r>
    <w:r w:rsidR="0031648B">
      <w:rPr>
        <w:color w:val="6B7280"/>
        <w:sz w:val="14"/>
        <w:szCs w:val="14"/>
      </w:rPr>
      <w:t>Limited |</w:t>
    </w:r>
    <w:r>
      <w:rPr>
        <w:color w:val="6B7280"/>
        <w:sz w:val="14"/>
        <w:szCs w:val="14"/>
      </w:rPr>
      <w:t xml:space="preserve">  </w:t>
    </w:r>
    <w:hyperlink r:id="rId1" w:history="1">
      <w:r w:rsidR="0031648B" w:rsidRPr="00425858">
        <w:rPr>
          <w:rStyle w:val="Hyperlink"/>
          <w:sz w:val="14"/>
          <w:szCs w:val="14"/>
        </w:rPr>
        <w:t>www.move78int.com</w:t>
      </w:r>
    </w:hyperlink>
    <w:r w:rsidR="0031648B">
      <w:rPr>
        <w:color w:val="6B7280"/>
        <w:sz w:val="14"/>
        <w:szCs w:val="14"/>
      </w:rPr>
      <w:t xml:space="preserve"> </w:t>
    </w:r>
    <w:r w:rsidR="0031648B">
      <w:rPr>
        <w:color w:val="6B7280"/>
        <w:sz w:val="14"/>
        <w:szCs w:val="14"/>
      </w:rPr>
      <w:t xml:space="preserve"> |  </w:t>
    </w:r>
    <w:hyperlink r:id="rId2" w:history="1">
      <w:r w:rsidR="0031648B" w:rsidRPr="00425858">
        <w:rPr>
          <w:rStyle w:val="Hyperlink"/>
          <w:sz w:val="14"/>
          <w:szCs w:val="14"/>
        </w:rPr>
        <w:t>contact@move78int.com</w:t>
      </w:r>
    </w:hyperlink>
    <w:r w:rsidR="0031648B">
      <w:rPr>
        <w:color w:val="6B7280"/>
        <w:sz w:val="14"/>
        <w:szCs w:val="14"/>
      </w:rPr>
      <w:t xml:space="preserve"> </w:t>
    </w:r>
    <w:r>
      <w:rPr>
        <w:sz w:val="14"/>
        <w:szCs w:val="14"/>
      </w:rPr>
      <w:tab/>
    </w:r>
    <w:r>
      <w:rPr>
        <w:color w:val="6B7280"/>
        <w:sz w:val="14"/>
        <w:szCs w:val="14"/>
      </w:rPr>
      <w:t xml:space="preserve">Page </w:t>
    </w:r>
    <w:r>
      <w:rPr>
        <w:color w:val="6B7280"/>
        <w:sz w:val="14"/>
        <w:szCs w:val="14"/>
      </w:rPr>
      <w:fldChar w:fldCharType="begin"/>
    </w:r>
    <w:r>
      <w:rPr>
        <w:color w:val="6B7280"/>
        <w:sz w:val="14"/>
        <w:szCs w:val="14"/>
      </w:rPr>
      <w:instrText>PAGE</w:instrText>
    </w:r>
    <w:r>
      <w:rPr>
        <w:color w:val="6B7280"/>
        <w:sz w:val="14"/>
        <w:szCs w:val="14"/>
      </w:rPr>
      <w:fldChar w:fldCharType="separate"/>
    </w:r>
    <w:r w:rsidR="00733A62">
      <w:rPr>
        <w:noProof/>
        <w:color w:val="6B7280"/>
        <w:sz w:val="14"/>
        <w:szCs w:val="14"/>
      </w:rPr>
      <w:t>2</w:t>
    </w:r>
    <w:r>
      <w:rPr>
        <w:color w:val="6B7280"/>
        <w:sz w:val="14"/>
        <w:szCs w:val="14"/>
      </w:rPr>
      <w:fldChar w:fldCharType="end"/>
    </w:r>
    <w:r>
      <w:rPr>
        <w:color w:val="6B7280"/>
        <w:sz w:val="14"/>
        <w:szCs w:val="14"/>
      </w:rPr>
      <w:t xml:space="preserve"> of </w:t>
    </w:r>
    <w:r>
      <w:rPr>
        <w:color w:val="6B7280"/>
        <w:sz w:val="14"/>
        <w:szCs w:val="14"/>
      </w:rPr>
      <w:fldChar w:fldCharType="begin"/>
    </w:r>
    <w:r>
      <w:rPr>
        <w:color w:val="6B7280"/>
        <w:sz w:val="14"/>
        <w:szCs w:val="14"/>
      </w:rPr>
      <w:instrText>NUMPAGES</w:instrText>
    </w:r>
    <w:r>
      <w:rPr>
        <w:color w:val="6B7280"/>
        <w:sz w:val="14"/>
        <w:szCs w:val="14"/>
      </w:rPr>
      <w:fldChar w:fldCharType="separate"/>
    </w:r>
    <w:r w:rsidR="00733A62">
      <w:rPr>
        <w:noProof/>
        <w:color w:val="6B7280"/>
        <w:sz w:val="14"/>
        <w:szCs w:val="14"/>
      </w:rPr>
      <w:t>3</w:t>
    </w:r>
    <w:r>
      <w:rPr>
        <w:color w:val="6B7280"/>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857DB" w14:textId="77777777" w:rsidR="00D20F91" w:rsidRDefault="00D20F91">
      <w:r>
        <w:separator/>
      </w:r>
    </w:p>
  </w:footnote>
  <w:footnote w:type="continuationSeparator" w:id="0">
    <w:p w14:paraId="46F21CF5" w14:textId="77777777" w:rsidR="00D20F91" w:rsidRDefault="00D20F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5F0E3" w14:textId="37AFBB30" w:rsidR="0043488F" w:rsidRDefault="00000000">
    <w:pPr>
      <w:pBdr>
        <w:bottom w:val="single" w:sz="4" w:space="4" w:color="1E2B4D"/>
      </w:pBdr>
      <w:tabs>
        <w:tab w:val="right" w:pos="9026"/>
      </w:tabs>
    </w:pPr>
    <w:r>
      <w:rPr>
        <w:b/>
        <w:bCs/>
        <w:color w:val="1E2B4D"/>
        <w:sz w:val="16"/>
        <w:szCs w:val="16"/>
      </w:rPr>
      <w:t>AI Acceptable Use Policy</w:t>
    </w:r>
    <w:r>
      <w:rPr>
        <w:color w:val="6B7280"/>
        <w:sz w:val="14"/>
        <w:szCs w:val="14"/>
      </w:rPr>
      <w:tab/>
      <w:t>Confidential — For Authorized Use Only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D0772"/>
    <w:multiLevelType w:val="hybridMultilevel"/>
    <w:tmpl w:val="C0480880"/>
    <w:lvl w:ilvl="0" w:tplc="5F38507C">
      <w:start w:val="1"/>
      <w:numFmt w:val="decimal"/>
      <w:lvlText w:val="%1."/>
      <w:lvlJc w:val="left"/>
      <w:pPr>
        <w:ind w:left="720" w:hanging="360"/>
      </w:pPr>
    </w:lvl>
    <w:lvl w:ilvl="1" w:tplc="17F8F9E2">
      <w:numFmt w:val="decimal"/>
      <w:lvlText w:val=""/>
      <w:lvlJc w:val="left"/>
    </w:lvl>
    <w:lvl w:ilvl="2" w:tplc="F8BE5E0A">
      <w:numFmt w:val="decimal"/>
      <w:lvlText w:val=""/>
      <w:lvlJc w:val="left"/>
    </w:lvl>
    <w:lvl w:ilvl="3" w:tplc="2CE248AC">
      <w:numFmt w:val="decimal"/>
      <w:lvlText w:val=""/>
      <w:lvlJc w:val="left"/>
    </w:lvl>
    <w:lvl w:ilvl="4" w:tplc="6BDE8ADC">
      <w:numFmt w:val="decimal"/>
      <w:lvlText w:val=""/>
      <w:lvlJc w:val="left"/>
    </w:lvl>
    <w:lvl w:ilvl="5" w:tplc="8B9C8BFA">
      <w:numFmt w:val="decimal"/>
      <w:lvlText w:val=""/>
      <w:lvlJc w:val="left"/>
    </w:lvl>
    <w:lvl w:ilvl="6" w:tplc="68560D0C">
      <w:numFmt w:val="decimal"/>
      <w:lvlText w:val=""/>
      <w:lvlJc w:val="left"/>
    </w:lvl>
    <w:lvl w:ilvl="7" w:tplc="CF3E1946">
      <w:numFmt w:val="decimal"/>
      <w:lvlText w:val=""/>
      <w:lvlJc w:val="left"/>
    </w:lvl>
    <w:lvl w:ilvl="8" w:tplc="F704121E">
      <w:numFmt w:val="decimal"/>
      <w:lvlText w:val=""/>
      <w:lvlJc w:val="left"/>
    </w:lvl>
  </w:abstractNum>
  <w:abstractNum w:abstractNumId="1" w15:restartNumberingAfterBreak="0">
    <w:nsid w:val="53301B73"/>
    <w:multiLevelType w:val="hybridMultilevel"/>
    <w:tmpl w:val="A4780D42"/>
    <w:lvl w:ilvl="0" w:tplc="0DA243A6">
      <w:start w:val="1"/>
      <w:numFmt w:val="bullet"/>
      <w:lvlText w:val="•"/>
      <w:lvlJc w:val="left"/>
      <w:pPr>
        <w:ind w:left="720" w:hanging="360"/>
      </w:pPr>
    </w:lvl>
    <w:lvl w:ilvl="1" w:tplc="9B0A37DE">
      <w:numFmt w:val="decimal"/>
      <w:lvlText w:val=""/>
      <w:lvlJc w:val="left"/>
    </w:lvl>
    <w:lvl w:ilvl="2" w:tplc="8CAE6EC6">
      <w:numFmt w:val="decimal"/>
      <w:lvlText w:val=""/>
      <w:lvlJc w:val="left"/>
    </w:lvl>
    <w:lvl w:ilvl="3" w:tplc="3AEAADD4">
      <w:numFmt w:val="decimal"/>
      <w:lvlText w:val=""/>
      <w:lvlJc w:val="left"/>
    </w:lvl>
    <w:lvl w:ilvl="4" w:tplc="536843E8">
      <w:numFmt w:val="decimal"/>
      <w:lvlText w:val=""/>
      <w:lvlJc w:val="left"/>
    </w:lvl>
    <w:lvl w:ilvl="5" w:tplc="8CB8DCFC">
      <w:numFmt w:val="decimal"/>
      <w:lvlText w:val=""/>
      <w:lvlJc w:val="left"/>
    </w:lvl>
    <w:lvl w:ilvl="6" w:tplc="6F2E90AE">
      <w:numFmt w:val="decimal"/>
      <w:lvlText w:val=""/>
      <w:lvlJc w:val="left"/>
    </w:lvl>
    <w:lvl w:ilvl="7" w:tplc="0EE01EC4">
      <w:numFmt w:val="decimal"/>
      <w:lvlText w:val=""/>
      <w:lvlJc w:val="left"/>
    </w:lvl>
    <w:lvl w:ilvl="8" w:tplc="C75E0B02">
      <w:numFmt w:val="decimal"/>
      <w:lvlText w:val=""/>
      <w:lvlJc w:val="left"/>
    </w:lvl>
  </w:abstractNum>
  <w:abstractNum w:abstractNumId="2" w15:restartNumberingAfterBreak="0">
    <w:nsid w:val="7D0F0AED"/>
    <w:multiLevelType w:val="hybridMultilevel"/>
    <w:tmpl w:val="466E3FA4"/>
    <w:lvl w:ilvl="0" w:tplc="C9205D04">
      <w:start w:val="1"/>
      <w:numFmt w:val="bullet"/>
      <w:lvlText w:val="●"/>
      <w:lvlJc w:val="left"/>
      <w:pPr>
        <w:ind w:left="720" w:hanging="360"/>
      </w:pPr>
    </w:lvl>
    <w:lvl w:ilvl="1" w:tplc="EAD80B0E">
      <w:start w:val="1"/>
      <w:numFmt w:val="bullet"/>
      <w:lvlText w:val="○"/>
      <w:lvlJc w:val="left"/>
      <w:pPr>
        <w:ind w:left="1440" w:hanging="360"/>
      </w:pPr>
    </w:lvl>
    <w:lvl w:ilvl="2" w:tplc="7AF809B8">
      <w:start w:val="1"/>
      <w:numFmt w:val="bullet"/>
      <w:lvlText w:val="■"/>
      <w:lvlJc w:val="left"/>
      <w:pPr>
        <w:ind w:left="2160" w:hanging="360"/>
      </w:pPr>
    </w:lvl>
    <w:lvl w:ilvl="3" w:tplc="20442D2C">
      <w:start w:val="1"/>
      <w:numFmt w:val="bullet"/>
      <w:lvlText w:val="●"/>
      <w:lvlJc w:val="left"/>
      <w:pPr>
        <w:ind w:left="2880" w:hanging="360"/>
      </w:pPr>
    </w:lvl>
    <w:lvl w:ilvl="4" w:tplc="76ECB16C">
      <w:start w:val="1"/>
      <w:numFmt w:val="bullet"/>
      <w:lvlText w:val="○"/>
      <w:lvlJc w:val="left"/>
      <w:pPr>
        <w:ind w:left="3600" w:hanging="360"/>
      </w:pPr>
    </w:lvl>
    <w:lvl w:ilvl="5" w:tplc="EAD0DDC0">
      <w:start w:val="1"/>
      <w:numFmt w:val="bullet"/>
      <w:lvlText w:val="■"/>
      <w:lvlJc w:val="left"/>
      <w:pPr>
        <w:ind w:left="4320" w:hanging="360"/>
      </w:pPr>
    </w:lvl>
    <w:lvl w:ilvl="6" w:tplc="899C9A16">
      <w:start w:val="1"/>
      <w:numFmt w:val="bullet"/>
      <w:lvlText w:val="●"/>
      <w:lvlJc w:val="left"/>
      <w:pPr>
        <w:ind w:left="5040" w:hanging="360"/>
      </w:pPr>
    </w:lvl>
    <w:lvl w:ilvl="7" w:tplc="ABD47F68">
      <w:start w:val="1"/>
      <w:numFmt w:val="bullet"/>
      <w:lvlText w:val="●"/>
      <w:lvlJc w:val="left"/>
      <w:pPr>
        <w:ind w:left="5760" w:hanging="360"/>
      </w:pPr>
    </w:lvl>
    <w:lvl w:ilvl="8" w:tplc="4B9AE8C4">
      <w:start w:val="1"/>
      <w:numFmt w:val="bullet"/>
      <w:lvlText w:val="●"/>
      <w:lvlJc w:val="left"/>
      <w:pPr>
        <w:ind w:left="6480" w:hanging="360"/>
      </w:pPr>
    </w:lvl>
  </w:abstractNum>
  <w:num w:numId="1" w16cid:durableId="1809204506">
    <w:abstractNumId w:val="2"/>
    <w:lvlOverride w:ilvl="0">
      <w:startOverride w:val="1"/>
    </w:lvlOverride>
  </w:num>
  <w:num w:numId="2" w16cid:durableId="2125145932">
    <w:abstractNumId w:val="1"/>
    <w:lvlOverride w:ilvl="0">
      <w:startOverride w:val="1"/>
    </w:lvlOverride>
  </w:num>
  <w:num w:numId="3" w16cid:durableId="151106742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88F"/>
    <w:rsid w:val="00230C6B"/>
    <w:rsid w:val="0031648B"/>
    <w:rsid w:val="0043488F"/>
    <w:rsid w:val="00496AEB"/>
    <w:rsid w:val="00733A62"/>
    <w:rsid w:val="00AC29A4"/>
    <w:rsid w:val="00D20F91"/>
    <w:rsid w:val="00F66331"/>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1CBB0"/>
  <w15:docId w15:val="{A265A244-71E1-4A2C-9998-CA9CDEF7B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1A1A1A"/>
        <w:sz w:val="22"/>
        <w:szCs w:val="22"/>
        <w:lang w:val="en-GB"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80"/>
      <w:outlineLvl w:val="0"/>
    </w:pPr>
    <w:rPr>
      <w:rFonts w:ascii="Georgia" w:eastAsia="Georgia" w:hAnsi="Georgia" w:cs="Georgia"/>
      <w:b/>
      <w:bCs/>
      <w:color w:val="1E2B4D"/>
      <w:sz w:val="32"/>
      <w:szCs w:val="32"/>
    </w:rPr>
  </w:style>
  <w:style w:type="paragraph" w:styleId="Heading2">
    <w:name w:val="heading 2"/>
    <w:uiPriority w:val="9"/>
    <w:unhideWhenUsed/>
    <w:qFormat/>
    <w:pPr>
      <w:spacing w:before="240" w:after="120"/>
      <w:outlineLvl w:val="1"/>
    </w:pPr>
    <w:rPr>
      <w:rFonts w:ascii="Georgia" w:eastAsia="Georgia" w:hAnsi="Georgia" w:cs="Georgia"/>
      <w:b/>
      <w:bCs/>
      <w:color w:val="1E2B4D"/>
      <w:sz w:val="26"/>
      <w:szCs w:val="26"/>
    </w:rPr>
  </w:style>
  <w:style w:type="paragraph" w:styleId="Heading3">
    <w:name w:val="heading 3"/>
    <w:uiPriority w:val="9"/>
    <w:semiHidden/>
    <w:unhideWhenUsed/>
    <w:qFormat/>
    <w:pPr>
      <w:spacing w:before="180" w:after="80"/>
      <w:outlineLvl w:val="2"/>
    </w:pPr>
    <w:rPr>
      <w:b/>
      <w:bCs/>
      <w:color w:val="2B7A8C"/>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31648B"/>
    <w:pPr>
      <w:tabs>
        <w:tab w:val="center" w:pos="4513"/>
        <w:tab w:val="right" w:pos="9026"/>
      </w:tabs>
    </w:pPr>
    <w:rPr>
      <w:rFonts w:cs="Mangal"/>
      <w:szCs w:val="20"/>
    </w:rPr>
  </w:style>
  <w:style w:type="character" w:customStyle="1" w:styleId="HeaderChar">
    <w:name w:val="Header Char"/>
    <w:basedOn w:val="DefaultParagraphFont"/>
    <w:link w:val="Header"/>
    <w:uiPriority w:val="99"/>
    <w:rsid w:val="0031648B"/>
    <w:rPr>
      <w:rFonts w:cs="Mangal"/>
      <w:szCs w:val="20"/>
    </w:rPr>
  </w:style>
  <w:style w:type="paragraph" w:styleId="Footer">
    <w:name w:val="footer"/>
    <w:basedOn w:val="Normal"/>
    <w:link w:val="FooterChar"/>
    <w:uiPriority w:val="99"/>
    <w:unhideWhenUsed/>
    <w:rsid w:val="0031648B"/>
    <w:pPr>
      <w:tabs>
        <w:tab w:val="center" w:pos="4513"/>
        <w:tab w:val="right" w:pos="9026"/>
      </w:tabs>
    </w:pPr>
    <w:rPr>
      <w:rFonts w:cs="Mangal"/>
      <w:szCs w:val="20"/>
    </w:rPr>
  </w:style>
  <w:style w:type="character" w:customStyle="1" w:styleId="FooterChar">
    <w:name w:val="Footer Char"/>
    <w:basedOn w:val="DefaultParagraphFont"/>
    <w:link w:val="Footer"/>
    <w:uiPriority w:val="99"/>
    <w:rsid w:val="0031648B"/>
    <w:rPr>
      <w:rFonts w:cs="Mangal"/>
      <w:szCs w:val="20"/>
    </w:rPr>
  </w:style>
  <w:style w:type="character" w:styleId="UnresolvedMention">
    <w:name w:val="Unresolved Mention"/>
    <w:basedOn w:val="DefaultParagraphFont"/>
    <w:uiPriority w:val="99"/>
    <w:semiHidden/>
    <w:unhideWhenUsed/>
    <w:rsid w:val="003164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move78int.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contact@move78int.com" TargetMode="External"/><Relationship Id="rId1" Type="http://schemas.openxmlformats.org/officeDocument/2006/relationships/hyperlink" Target="http://www.move78i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896</Words>
  <Characters>5111</Characters>
  <Application>Microsoft Office Word</Application>
  <DocSecurity>0</DocSecurity>
  <Lines>42</Lines>
  <Paragraphs>11</Paragraphs>
  <ScaleCrop>false</ScaleCrop>
  <Company/>
  <LinksUpToDate>false</LinksUpToDate>
  <CharactersWithSpaces>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Abhishek G Sharma</cp:lastModifiedBy>
  <cp:revision>6</cp:revision>
  <dcterms:created xsi:type="dcterms:W3CDTF">2026-03-21T03:14:00Z</dcterms:created>
  <dcterms:modified xsi:type="dcterms:W3CDTF">2026-03-23T15:20:00Z</dcterms:modified>
</cp:coreProperties>
</file>