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52789" w14:textId="77777777" w:rsidR="00794D5A" w:rsidRDefault="00794D5A">
      <w:pPr>
        <w:spacing w:before="600"/>
      </w:pPr>
    </w:p>
    <w:p w14:paraId="342A7D2D" w14:textId="77777777" w:rsidR="00794D5A" w:rsidRDefault="00000000">
      <w:pPr>
        <w:jc w:val="center"/>
      </w:pPr>
      <w:r>
        <w:rPr>
          <w:noProof/>
        </w:rPr>
        <w:drawing>
          <wp:inline distT="0" distB="0" distL="0" distR="0" wp14:anchorId="432F36DA" wp14:editId="0558297B">
            <wp:extent cx="1333500" cy="1228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333500" cy="1228725"/>
                    </a:xfrm>
                    <a:prstGeom prst="rect">
                      <a:avLst/>
                    </a:prstGeom>
                  </pic:spPr>
                </pic:pic>
              </a:graphicData>
            </a:graphic>
          </wp:inline>
        </w:drawing>
      </w:r>
    </w:p>
    <w:p w14:paraId="5D10E8FC" w14:textId="77777777" w:rsidR="00794D5A" w:rsidRDefault="00794D5A">
      <w:pPr>
        <w:spacing w:before="200"/>
      </w:pPr>
    </w:p>
    <w:p w14:paraId="6CC6E9E1" w14:textId="77777777" w:rsidR="00794D5A" w:rsidRDefault="00000000">
      <w:pPr>
        <w:spacing w:after="80"/>
        <w:jc w:val="center"/>
      </w:pPr>
      <w:r>
        <w:rPr>
          <w:rFonts w:ascii="Georgia" w:eastAsia="Georgia" w:hAnsi="Georgia" w:cs="Georgia"/>
          <w:b/>
          <w:bCs/>
          <w:color w:val="1E2B4D"/>
          <w:spacing w:val="120"/>
        </w:rPr>
        <w:t>MOVE 78 INTERNATIONAL</w:t>
      </w:r>
    </w:p>
    <w:p w14:paraId="260750E1" w14:textId="77777777" w:rsidR="00794D5A" w:rsidRDefault="00794D5A">
      <w:pPr>
        <w:spacing w:before="400"/>
      </w:pPr>
    </w:p>
    <w:p w14:paraId="01B69033" w14:textId="77777777" w:rsidR="00794D5A" w:rsidRDefault="00794D5A">
      <w:pPr>
        <w:pBdr>
          <w:bottom w:val="single" w:sz="6" w:space="1" w:color="1E2B4D"/>
        </w:pBdr>
        <w:jc w:val="center"/>
      </w:pPr>
    </w:p>
    <w:p w14:paraId="53C69A71" w14:textId="77777777" w:rsidR="00794D5A" w:rsidRDefault="00794D5A">
      <w:pPr>
        <w:spacing w:before="200"/>
      </w:pPr>
    </w:p>
    <w:p w14:paraId="051FB773" w14:textId="77777777" w:rsidR="00794D5A" w:rsidRDefault="00000000">
      <w:pPr>
        <w:spacing w:after="120"/>
        <w:jc w:val="center"/>
      </w:pPr>
      <w:r>
        <w:rPr>
          <w:rFonts w:ascii="Georgia" w:eastAsia="Georgia" w:hAnsi="Georgia" w:cs="Georgia"/>
          <w:b/>
          <w:bCs/>
          <w:color w:val="1E2B4D"/>
          <w:sz w:val="44"/>
          <w:szCs w:val="44"/>
        </w:rPr>
        <w:t>OPENCLAW INCIDENT RESPONSE QUICK REFERENCE</w:t>
      </w:r>
    </w:p>
    <w:p w14:paraId="5FA00F37" w14:textId="77777777" w:rsidR="00794D5A" w:rsidRDefault="00794D5A">
      <w:pPr>
        <w:pBdr>
          <w:bottom w:val="single" w:sz="6" w:space="1" w:color="1E2B4D"/>
        </w:pBdr>
        <w:jc w:val="center"/>
      </w:pPr>
    </w:p>
    <w:p w14:paraId="1A74952A" w14:textId="77777777" w:rsidR="00794D5A" w:rsidRDefault="00794D5A">
      <w:pPr>
        <w:spacing w:before="400"/>
      </w:pPr>
    </w:p>
    <w:p w14:paraId="058B1A1E" w14:textId="77777777" w:rsidR="00794D5A" w:rsidRDefault="00794D5A">
      <w:pPr>
        <w:spacing w:before="100"/>
      </w:pPr>
    </w:p>
    <w:p w14:paraId="4475AAAB" w14:textId="20768B71" w:rsidR="00794D5A" w:rsidRDefault="00000000">
      <w:pPr>
        <w:jc w:val="center"/>
      </w:pPr>
      <w:r>
        <w:rPr>
          <w:b/>
          <w:bCs/>
          <w:color w:val="1E2B4D"/>
          <w:sz w:val="20"/>
          <w:szCs w:val="20"/>
        </w:rPr>
        <w:t xml:space="preserve">Version: </w:t>
      </w:r>
      <w:r>
        <w:rPr>
          <w:sz w:val="20"/>
          <w:szCs w:val="20"/>
        </w:rPr>
        <w:t>1.0</w:t>
      </w:r>
      <w:r>
        <w:rPr>
          <w:color w:val="E2E5EA"/>
          <w:sz w:val="20"/>
          <w:szCs w:val="20"/>
        </w:rPr>
        <w:t xml:space="preserve">     |     </w:t>
      </w:r>
      <w:r>
        <w:rPr>
          <w:b/>
          <w:bCs/>
          <w:color w:val="1E2B4D"/>
          <w:sz w:val="20"/>
          <w:szCs w:val="20"/>
        </w:rPr>
        <w:t xml:space="preserve">Date: </w:t>
      </w:r>
      <w:r>
        <w:rPr>
          <w:sz w:val="20"/>
          <w:szCs w:val="20"/>
        </w:rPr>
        <w:t>March 2026</w:t>
      </w:r>
    </w:p>
    <w:p w14:paraId="71213DAE" w14:textId="77777777" w:rsidR="00794D5A" w:rsidRDefault="00794D5A">
      <w:pPr>
        <w:spacing w:before="100"/>
      </w:pPr>
    </w:p>
    <w:p w14:paraId="23483B11" w14:textId="660984FC" w:rsidR="00794D5A" w:rsidRDefault="00000000">
      <w:pPr>
        <w:jc w:val="center"/>
      </w:pPr>
      <w:r>
        <w:rPr>
          <w:b/>
          <w:bCs/>
          <w:color w:val="1E2B4D"/>
          <w:sz w:val="20"/>
          <w:szCs w:val="20"/>
        </w:rPr>
        <w:t>AI Compliance Toolkit (</w:t>
      </w:r>
      <w:r w:rsidR="00390971">
        <w:rPr>
          <w:b/>
          <w:bCs/>
          <w:color w:val="1E2B4D"/>
          <w:sz w:val="20"/>
          <w:szCs w:val="20"/>
        </w:rPr>
        <w:t>ACT)</w:t>
      </w:r>
      <w:r w:rsidR="00390971">
        <w:rPr>
          <w:color w:val="E2E5EA"/>
          <w:sz w:val="20"/>
          <w:szCs w:val="20"/>
        </w:rPr>
        <w:t xml:space="preserve"> </w:t>
      </w:r>
      <w:r>
        <w:rPr>
          <w:color w:val="E2E5EA"/>
          <w:sz w:val="20"/>
          <w:szCs w:val="20"/>
        </w:rPr>
        <w:t xml:space="preserve">|     </w:t>
      </w:r>
      <w:r>
        <w:rPr>
          <w:sz w:val="20"/>
          <w:szCs w:val="20"/>
        </w:rPr>
        <w:t>Free Resource</w:t>
      </w:r>
    </w:p>
    <w:p w14:paraId="250EC296" w14:textId="77777777" w:rsidR="00794D5A" w:rsidRDefault="00794D5A">
      <w:pPr>
        <w:spacing w:before="600"/>
      </w:pPr>
    </w:p>
    <w:p w14:paraId="424BABF0" w14:textId="77777777" w:rsidR="00794D5A" w:rsidRDefault="00000000">
      <w:pPr>
        <w:shd w:val="clear" w:color="auto" w:fill="F7F8FA"/>
        <w:spacing w:before="80" w:after="80"/>
        <w:jc w:val="center"/>
      </w:pPr>
      <w:r>
        <w:rPr>
          <w:b/>
          <w:bCs/>
          <w:color w:val="1E2B4D"/>
          <w:sz w:val="18"/>
          <w:szCs w:val="18"/>
        </w:rPr>
        <w:t>Confidential — For Authorized Use Only</w:t>
      </w:r>
    </w:p>
    <w:p w14:paraId="6C0FFFE9" w14:textId="77777777" w:rsidR="00794D5A" w:rsidRDefault="00794D5A">
      <w:pPr>
        <w:spacing w:before="100"/>
      </w:pPr>
    </w:p>
    <w:p w14:paraId="3CD972CC" w14:textId="77777777" w:rsidR="00794D5A" w:rsidRDefault="00000000">
      <w:pPr>
        <w:jc w:val="center"/>
      </w:pPr>
      <w:r>
        <w:rPr>
          <w:i/>
          <w:iCs/>
          <w:color w:val="6B7280"/>
          <w:sz w:val="18"/>
          <w:szCs w:val="18"/>
        </w:rPr>
        <w:t>Informational only. Not legal advice.</w:t>
      </w:r>
    </w:p>
    <w:p w14:paraId="7D15DE56" w14:textId="77777777" w:rsidR="00794D5A" w:rsidRDefault="00794D5A">
      <w:pPr>
        <w:spacing w:before="200"/>
      </w:pPr>
    </w:p>
    <w:p w14:paraId="4AFF8E77" w14:textId="77777777" w:rsidR="00794D5A" w:rsidRDefault="00000000">
      <w:pPr>
        <w:jc w:val="center"/>
      </w:pPr>
      <w:r>
        <w:rPr>
          <w:color w:val="6B7280"/>
          <w:sz w:val="16"/>
          <w:szCs w:val="16"/>
        </w:rPr>
        <w:t>© 2026 Move 78 International Limited. All rights reserved.</w:t>
      </w:r>
    </w:p>
    <w:p w14:paraId="037217CD" w14:textId="32FE2925" w:rsidR="00794D5A" w:rsidRDefault="00390971" w:rsidP="00390971">
      <w:pPr>
        <w:jc w:val="center"/>
        <w:sectPr w:rsidR="00794D5A">
          <w:pgSz w:w="12240" w:h="15840"/>
          <w:pgMar w:top="1440" w:right="1440" w:bottom="1440" w:left="1440" w:header="708" w:footer="708" w:gutter="0"/>
          <w:cols w:space="720"/>
          <w:titlePg/>
          <w:docGrid w:linePitch="360"/>
        </w:sectPr>
      </w:pPr>
      <w:hyperlink r:id="rId8" w:history="1">
        <w:r w:rsidRPr="00782747">
          <w:rPr>
            <w:rStyle w:val="Hyperlink"/>
            <w:sz w:val="16"/>
            <w:szCs w:val="16"/>
          </w:rPr>
          <w:t>www.move78int.com</w:t>
        </w:r>
      </w:hyperlink>
      <w:r>
        <w:t xml:space="preserve"> | </w:t>
      </w:r>
      <w:hyperlink r:id="rId9" w:history="1">
        <w:r w:rsidRPr="00390971">
          <w:rPr>
            <w:rStyle w:val="Hyperlink"/>
            <w:sz w:val="16"/>
            <w:szCs w:val="16"/>
          </w:rPr>
          <w:t>contact@move78int.com</w:t>
        </w:r>
      </w:hyperlink>
      <w:r>
        <w:t xml:space="preserve">  </w:t>
      </w:r>
    </w:p>
    <w:p w14:paraId="4B07CC31" w14:textId="77777777" w:rsidR="00794D5A" w:rsidRDefault="00000000">
      <w:pPr>
        <w:pStyle w:val="Heading1"/>
      </w:pPr>
      <w:r>
        <w:lastRenderedPageBreak/>
        <w:t>1. Contain</w:t>
      </w:r>
    </w:p>
    <w:p w14:paraId="053160E6" w14:textId="77777777" w:rsidR="00794D5A" w:rsidRDefault="00794D5A">
      <w:pPr>
        <w:pBdr>
          <w:bottom w:val="single" w:sz="6" w:space="4" w:color="1E2B4D"/>
        </w:pBdr>
        <w:spacing w:after="300"/>
      </w:pPr>
    </w:p>
    <w:p w14:paraId="525F1D03" w14:textId="77777777" w:rsidR="00794D5A" w:rsidRDefault="00000000">
      <w:pPr>
        <w:spacing w:after="200"/>
      </w:pPr>
      <w:r>
        <w:t xml:space="preserve">The first minutes of an agentic AI incident determine how much damage can still be prevented. </w:t>
      </w:r>
      <w:proofErr w:type="spellStart"/>
      <w:r>
        <w:t>OpenClaw</w:t>
      </w:r>
      <w:proofErr w:type="spellEnd"/>
      <w:r>
        <w:t xml:space="preserve"> agents operate autonomously, execute tool calls, invoke skills, and interact with external systems without waiting for human approval. Containment must happen before investigation. Every second the runtime remains active is a second the agent can take additional irreversible actions.</w:t>
      </w:r>
    </w:p>
    <w:p w14:paraId="4A650C64" w14:textId="77777777" w:rsidR="00BA003D" w:rsidRDefault="00BA003D">
      <w:pPr>
        <w:spacing w:after="200"/>
      </w:pPr>
    </w:p>
    <w:p w14:paraId="356BE2F5" w14:textId="6F7690B3" w:rsidR="00BA003D" w:rsidRDefault="00BA003D">
      <w:pPr>
        <w:spacing w:after="200"/>
      </w:pPr>
      <w:r>
        <w:rPr>
          <w:noProof/>
        </w:rPr>
        <w:drawing>
          <wp:inline distT="0" distB="0" distL="0" distR="0" wp14:anchorId="6795CEAA" wp14:editId="12DE2678">
            <wp:extent cx="5943600" cy="3315970"/>
            <wp:effectExtent l="0" t="0" r="0" b="0"/>
            <wp:docPr id="185470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15970"/>
                    </a:xfrm>
                    <a:prstGeom prst="rect">
                      <a:avLst/>
                    </a:prstGeom>
                    <a:noFill/>
                    <a:ln>
                      <a:noFill/>
                    </a:ln>
                  </pic:spPr>
                </pic:pic>
              </a:graphicData>
            </a:graphic>
          </wp:inline>
        </w:drawing>
      </w:r>
    </w:p>
    <w:p w14:paraId="25E8E48B" w14:textId="77777777" w:rsidR="00794D5A" w:rsidRDefault="00794D5A">
      <w:pPr>
        <w:spacing w:before="100"/>
      </w:pPr>
    </w:p>
    <w:p w14:paraId="729463E9" w14:textId="77777777" w:rsidR="00794D5A" w:rsidRDefault="00000000">
      <w:pPr>
        <w:numPr>
          <w:ilvl w:val="0"/>
          <w:numId w:val="1"/>
        </w:numPr>
        <w:spacing w:after="120"/>
      </w:pPr>
      <w:r>
        <w:rPr>
          <w:b/>
          <w:bCs/>
        </w:rPr>
        <w:t>Disable the runtime</w:t>
      </w:r>
      <w:r>
        <w:t xml:space="preserve"> – Use the tested kill switch or disable mechanism. If the agent is running on a managed endpoint, terminate the process or container. If it is running as a cloud-hosted service, revoke the deployment or scale the instance count to zero. If no kill switch has been tested in advance, disconnect the network segment the agent operates on. Do not attempt to “fix” the agent while it is still running. The goal is full stop, not partial restriction.</w:t>
      </w:r>
    </w:p>
    <w:p w14:paraId="41C9E36C" w14:textId="77777777" w:rsidR="00794D5A" w:rsidRDefault="00000000">
      <w:pPr>
        <w:numPr>
          <w:ilvl w:val="0"/>
          <w:numId w:val="1"/>
        </w:numPr>
        <w:spacing w:after="120"/>
      </w:pPr>
      <w:r>
        <w:rPr>
          <w:b/>
          <w:bCs/>
        </w:rPr>
        <w:t>Revoke credentials and tokens</w:t>
      </w:r>
      <w:r>
        <w:t xml:space="preserve"> – Immediately revoke every service account, API key, OAuth token, and delegated permission that the affected agent or its skills had access to. This includes MCP connector tokens, third-party API keys provisioned to individual skills, database credentials, and any shared secrets stored in the agent’s configuration. Rotate credentials for any system the agent could reach, even if you have no evidence of misuse yet. Assume the blast radius is wider than what you can see in the first hour.</w:t>
      </w:r>
    </w:p>
    <w:p w14:paraId="792670C9" w14:textId="77777777" w:rsidR="00794D5A" w:rsidRDefault="00000000">
      <w:pPr>
        <w:numPr>
          <w:ilvl w:val="0"/>
          <w:numId w:val="1"/>
        </w:numPr>
        <w:spacing w:after="120"/>
      </w:pPr>
      <w:r>
        <w:rPr>
          <w:b/>
          <w:bCs/>
        </w:rPr>
        <w:t>Isolate the environment</w:t>
      </w:r>
      <w:r>
        <w:t xml:space="preserve"> – Disconnect the affected endpoint, container, virtual machine, or network segment from the rest of the infrastructure. If the agent was running on a shared </w:t>
      </w:r>
      <w:r>
        <w:lastRenderedPageBreak/>
        <w:t>server, isolate that server. If the agent had access to a shared data store, restrict access to that store from all other systems until the scope of the incident is understood. The purpose of isolation is to prevent lateral movement: an agent that has accessed one system may have cached credentials, written data, or triggered actions in downstream systems that are not yet visible.</w:t>
      </w:r>
    </w:p>
    <w:p w14:paraId="52C1C4F5" w14:textId="77777777" w:rsidR="00794D5A" w:rsidRDefault="00000000">
      <w:pPr>
        <w:spacing w:after="200"/>
      </w:pPr>
      <w:r>
        <w:t>If your organisation has not tested a kill switch in a controlled environment before this incident, that is itself a governance finding that must be documented in the post-incident review.</w:t>
      </w:r>
    </w:p>
    <w:p w14:paraId="6EADC13E" w14:textId="77777777" w:rsidR="00794D5A" w:rsidRDefault="00794D5A">
      <w:pPr>
        <w:spacing w:before="120"/>
      </w:pPr>
    </w:p>
    <w:p w14:paraId="1ADB6A5A" w14:textId="77777777" w:rsidR="00794D5A" w:rsidRPr="00BA003D" w:rsidRDefault="00000000" w:rsidP="00BA003D">
      <w:pPr>
        <w:pBdr>
          <w:left w:val="single" w:sz="12" w:space="8" w:color="1D4ED8"/>
        </w:pBdr>
        <w:shd w:val="clear" w:color="auto" w:fill="F0F4FF"/>
        <w:spacing w:before="120" w:after="40" w:line="480" w:lineRule="auto"/>
        <w:ind w:left="240"/>
        <w:rPr>
          <w:sz w:val="32"/>
          <w:szCs w:val="32"/>
        </w:rPr>
      </w:pPr>
      <w:r w:rsidRPr="00BA003D">
        <w:rPr>
          <w:rFonts w:ascii="Georgia" w:eastAsia="Georgia" w:hAnsi="Georgia" w:cs="Georgia"/>
          <w:b/>
          <w:bCs/>
          <w:color w:val="1D4ED8"/>
          <w:sz w:val="32"/>
          <w:szCs w:val="32"/>
        </w:rPr>
        <w:t>Regulatory Cross-References</w:t>
      </w:r>
    </w:p>
    <w:p w14:paraId="6E8BB7DD" w14:textId="77777777" w:rsidR="00794D5A" w:rsidRDefault="00000000" w:rsidP="00BA003D">
      <w:pPr>
        <w:pStyle w:val="ListParagraph"/>
        <w:numPr>
          <w:ilvl w:val="0"/>
          <w:numId w:val="4"/>
        </w:numPr>
        <w:pBdr>
          <w:left w:val="single" w:sz="12" w:space="8" w:color="1D4ED8"/>
        </w:pBdr>
        <w:shd w:val="clear" w:color="auto" w:fill="F0F4FF"/>
        <w:spacing w:before="40" w:after="40" w:line="480" w:lineRule="auto"/>
      </w:pPr>
      <w:r w:rsidRPr="00BA003D">
        <w:rPr>
          <w:b/>
          <w:bCs/>
          <w:color w:val="1E2B4D"/>
          <w:sz w:val="18"/>
          <w:szCs w:val="18"/>
        </w:rPr>
        <w:t>ISO/IEC 42001:2023</w:t>
      </w:r>
      <w:r w:rsidRPr="00BA003D">
        <w:rPr>
          <w:color w:val="475569"/>
          <w:sz w:val="18"/>
          <w:szCs w:val="18"/>
        </w:rPr>
        <w:t xml:space="preserve"> Clause 10.2 – Nonconformity and corrective action (take immediate action to control and correct the nonconformity)</w:t>
      </w:r>
    </w:p>
    <w:p w14:paraId="011989D5" w14:textId="77777777" w:rsidR="00794D5A" w:rsidRDefault="00000000" w:rsidP="00BA003D">
      <w:pPr>
        <w:pStyle w:val="ListParagraph"/>
        <w:numPr>
          <w:ilvl w:val="0"/>
          <w:numId w:val="4"/>
        </w:numPr>
        <w:pBdr>
          <w:left w:val="single" w:sz="12" w:space="8" w:color="1D4ED8"/>
        </w:pBdr>
        <w:shd w:val="clear" w:color="auto" w:fill="F0F4FF"/>
        <w:spacing w:before="40" w:after="40" w:line="480" w:lineRule="auto"/>
      </w:pPr>
      <w:r w:rsidRPr="00BA003D">
        <w:rPr>
          <w:b/>
          <w:bCs/>
          <w:color w:val="1E2B4D"/>
          <w:sz w:val="18"/>
          <w:szCs w:val="18"/>
        </w:rPr>
        <w:t>NIST AI RMF 1.0</w:t>
      </w:r>
      <w:r w:rsidRPr="00BA003D">
        <w:rPr>
          <w:color w:val="475569"/>
          <w:sz w:val="18"/>
          <w:szCs w:val="18"/>
        </w:rPr>
        <w:t xml:space="preserve"> MANAGE 2.3 – Procedures for responding to, recovering from, and communicating about AI incidents are established and integrated into existing incident response plans</w:t>
      </w:r>
    </w:p>
    <w:p w14:paraId="4BC95D43" w14:textId="77777777" w:rsidR="00794D5A" w:rsidRDefault="00000000" w:rsidP="00BA003D">
      <w:pPr>
        <w:pStyle w:val="ListParagraph"/>
        <w:numPr>
          <w:ilvl w:val="0"/>
          <w:numId w:val="4"/>
        </w:numPr>
        <w:pBdr>
          <w:left w:val="single" w:sz="12" w:space="8" w:color="1D4ED8"/>
        </w:pBdr>
        <w:shd w:val="clear" w:color="auto" w:fill="F0F4FF"/>
        <w:spacing w:before="40" w:after="40" w:line="480" w:lineRule="auto"/>
      </w:pPr>
      <w:r w:rsidRPr="00BA003D">
        <w:rPr>
          <w:b/>
          <w:bCs/>
          <w:color w:val="1E2B4D"/>
          <w:sz w:val="18"/>
          <w:szCs w:val="18"/>
        </w:rPr>
        <w:t>EU AI Act</w:t>
      </w:r>
      <w:r w:rsidRPr="00BA003D">
        <w:rPr>
          <w:color w:val="475569"/>
          <w:sz w:val="18"/>
          <w:szCs w:val="18"/>
        </w:rPr>
        <w:t xml:space="preserve"> Article 20 – Corrective actions and duty of information; Article 73(6) – The provider shall not perform any investigation which involves altering the AI system prior to informing the competent authorities</w:t>
      </w:r>
    </w:p>
    <w:p w14:paraId="070BA59E" w14:textId="77777777" w:rsidR="00794D5A" w:rsidRDefault="00000000" w:rsidP="00BA003D">
      <w:pPr>
        <w:pStyle w:val="ListParagraph"/>
        <w:numPr>
          <w:ilvl w:val="0"/>
          <w:numId w:val="4"/>
        </w:numPr>
        <w:pBdr>
          <w:left w:val="single" w:sz="12" w:space="8" w:color="1D4ED8"/>
        </w:pBdr>
        <w:shd w:val="clear" w:color="auto" w:fill="F0F4FF"/>
        <w:spacing w:before="40" w:after="40" w:line="480" w:lineRule="auto"/>
      </w:pPr>
      <w:r w:rsidRPr="00BA003D">
        <w:rPr>
          <w:b/>
          <w:bCs/>
          <w:color w:val="1E2B4D"/>
          <w:sz w:val="18"/>
          <w:szCs w:val="18"/>
        </w:rPr>
        <w:t>Colorado AI Act</w:t>
      </w:r>
      <w:r w:rsidRPr="00BA003D">
        <w:rPr>
          <w:color w:val="475569"/>
          <w:sz w:val="18"/>
          <w:szCs w:val="18"/>
        </w:rPr>
        <w:t xml:space="preserve"> C.R.S. 6-1-1702(1) – Developer and deployer duty of reasonable care to protect consumers from known or foreseeable risks of algorithmic discrimination</w:t>
      </w:r>
    </w:p>
    <w:p w14:paraId="64DD47E8" w14:textId="77777777" w:rsidR="00794D5A" w:rsidRDefault="00000000" w:rsidP="00BA003D">
      <w:pPr>
        <w:pStyle w:val="ListParagraph"/>
        <w:numPr>
          <w:ilvl w:val="0"/>
          <w:numId w:val="4"/>
        </w:numPr>
        <w:pBdr>
          <w:left w:val="single" w:sz="12" w:space="8" w:color="1D4ED8"/>
        </w:pBdr>
        <w:shd w:val="clear" w:color="auto" w:fill="F0F4FF"/>
        <w:spacing w:before="40" w:after="40" w:line="480" w:lineRule="auto"/>
      </w:pPr>
      <w:r w:rsidRPr="00BA003D">
        <w:rPr>
          <w:b/>
          <w:bCs/>
          <w:color w:val="1E2B4D"/>
          <w:sz w:val="18"/>
          <w:szCs w:val="18"/>
        </w:rPr>
        <w:t>Singapore</w:t>
      </w:r>
      <w:r w:rsidRPr="00BA003D">
        <w:rPr>
          <w:color w:val="475569"/>
          <w:sz w:val="18"/>
          <w:szCs w:val="18"/>
        </w:rPr>
        <w:t xml:space="preserve"> PDPA Sections 26B–26D – Mandatory breach notification regime (containment is the first step in the PDPC C.A.R.E. framework: Contain, Assess, Report, Evaluate); Cybersecurity Act Section 14 – Reporting of cybersecurity incidents affecting Critical Information Infrastructure</w:t>
      </w:r>
    </w:p>
    <w:p w14:paraId="181C8140" w14:textId="77777777" w:rsidR="00794D5A" w:rsidRDefault="00000000">
      <w:r>
        <w:br w:type="page"/>
      </w:r>
    </w:p>
    <w:p w14:paraId="1897324B" w14:textId="77777777" w:rsidR="00794D5A" w:rsidRDefault="00000000">
      <w:pPr>
        <w:pStyle w:val="Heading1"/>
      </w:pPr>
      <w:r>
        <w:lastRenderedPageBreak/>
        <w:t>2. Preserve Evidence</w:t>
      </w:r>
    </w:p>
    <w:p w14:paraId="7B712A01" w14:textId="77777777" w:rsidR="00794D5A" w:rsidRDefault="00794D5A">
      <w:pPr>
        <w:pBdr>
          <w:bottom w:val="single" w:sz="6" w:space="4" w:color="1E2B4D"/>
        </w:pBdr>
        <w:spacing w:after="300"/>
      </w:pPr>
    </w:p>
    <w:p w14:paraId="3F65627F" w14:textId="77777777" w:rsidR="00794D5A" w:rsidRDefault="00000000">
      <w:pPr>
        <w:spacing w:after="200"/>
      </w:pPr>
      <w:r>
        <w:t>Once the agent is stopped and isolated, the priority shifts to preserving every artefact that documents what happened. Agentic AI incidents are uniquely difficult to investigate because the agent’s decision chain, tool invocations, and external interactions may not be captured by traditional security logging. If logs are incomplete or overwritten, the ability to determine root cause, data exposure scope, and regulatory reporting obligations is permanently compromised.</w:t>
      </w:r>
    </w:p>
    <w:p w14:paraId="28414378" w14:textId="77777777" w:rsidR="00BA003D" w:rsidRDefault="00BA003D">
      <w:pPr>
        <w:spacing w:after="200"/>
      </w:pPr>
    </w:p>
    <w:p w14:paraId="7E51285D" w14:textId="0D7A180F" w:rsidR="00BA003D" w:rsidRDefault="00BA003D">
      <w:pPr>
        <w:spacing w:after="200"/>
      </w:pPr>
      <w:r>
        <w:rPr>
          <w:noProof/>
        </w:rPr>
        <w:drawing>
          <wp:inline distT="0" distB="0" distL="0" distR="0" wp14:anchorId="460BA98A" wp14:editId="340DB8DF">
            <wp:extent cx="5943600" cy="3315970"/>
            <wp:effectExtent l="0" t="0" r="0" b="0"/>
            <wp:docPr id="1867437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15970"/>
                    </a:xfrm>
                    <a:prstGeom prst="rect">
                      <a:avLst/>
                    </a:prstGeom>
                    <a:noFill/>
                    <a:ln>
                      <a:noFill/>
                    </a:ln>
                  </pic:spPr>
                </pic:pic>
              </a:graphicData>
            </a:graphic>
          </wp:inline>
        </w:drawing>
      </w:r>
    </w:p>
    <w:p w14:paraId="2F807EF9" w14:textId="77777777" w:rsidR="00794D5A" w:rsidRDefault="00794D5A">
      <w:pPr>
        <w:spacing w:before="100"/>
      </w:pPr>
    </w:p>
    <w:p w14:paraId="6F93F251" w14:textId="77777777" w:rsidR="00794D5A" w:rsidRDefault="00000000">
      <w:pPr>
        <w:numPr>
          <w:ilvl w:val="0"/>
          <w:numId w:val="1"/>
        </w:numPr>
        <w:spacing w:after="120"/>
      </w:pPr>
      <w:r>
        <w:rPr>
          <w:b/>
          <w:bCs/>
        </w:rPr>
        <w:t>Capture logs</w:t>
      </w:r>
      <w:r>
        <w:t xml:space="preserve"> – Collect all available logs covering: the prompts the agent received (including system prompts and user inputs), every tool call and skill invocation with input parameters and return values, every action the agent took against external systems (API calls, database queries, file writes, emails sent, messages posted), the identity and authentication context under which each action was performed, and the timing and sequencing of all events. Export logs to an immutable storage location that is separate from the systems involved in the incident. If your logging infrastructure runs on the same platform as the agent, copy the logs before making any infrastructure changes. Timestamp integrity is critical: verify that log timestamps are consistent and have not been tampered with.</w:t>
      </w:r>
    </w:p>
    <w:p w14:paraId="19C401CB" w14:textId="77777777" w:rsidR="00794D5A" w:rsidRDefault="00000000">
      <w:pPr>
        <w:numPr>
          <w:ilvl w:val="0"/>
          <w:numId w:val="1"/>
        </w:numPr>
        <w:spacing w:after="120"/>
      </w:pPr>
      <w:r>
        <w:rPr>
          <w:b/>
          <w:bCs/>
        </w:rPr>
        <w:t>Record the incident timeline</w:t>
      </w:r>
      <w:r>
        <w:t xml:space="preserve"> – Create a written chronological record starting from the earliest known indicator of abnormal behaviour through to full containment. Include: when the incident was first detected and by whom (automated alert, user report, or manual discovery), what containment actions were taken and when, any system changes that occurred during the incident window, and the names and roles of all personnel who participated in the response. </w:t>
      </w:r>
      <w:r>
        <w:lastRenderedPageBreak/>
        <w:t>This timeline becomes the foundational document for regulatory reporting, internal review, and any subsequent legal or audit inquiry.</w:t>
      </w:r>
    </w:p>
    <w:p w14:paraId="0F857FAC" w14:textId="77777777" w:rsidR="00794D5A" w:rsidRDefault="00000000">
      <w:pPr>
        <w:numPr>
          <w:ilvl w:val="0"/>
          <w:numId w:val="1"/>
        </w:numPr>
        <w:spacing w:after="120"/>
      </w:pPr>
      <w:r>
        <w:rPr>
          <w:b/>
          <w:bCs/>
        </w:rPr>
        <w:t>Inventory the impacted components</w:t>
      </w:r>
      <w:r>
        <w:t xml:space="preserve"> – Map every system, data store, skill, connector, and MCP integration that the affected agent had access to, </w:t>
      </w:r>
      <w:proofErr w:type="gramStart"/>
      <w:r>
        <w:t>whether or not</w:t>
      </w:r>
      <w:proofErr w:type="gramEnd"/>
      <w:r>
        <w:t xml:space="preserve"> you have evidence of actual interaction during the incident. For each component, document: the type of access (read, write, execute, admin), whether the access was authorised or exceeded the agent’s intended scope, the data classification of information the component holds (synthetic, internal business, customer or employee PII, regulated data), and the current state of the component (intact, modified, unknown). This inventory defines the blast radius and drives the impact assessment in Step 3.</w:t>
      </w:r>
    </w:p>
    <w:p w14:paraId="0F7FA26F" w14:textId="77777777" w:rsidR="00794D5A" w:rsidRDefault="00000000">
      <w:pPr>
        <w:spacing w:after="200"/>
      </w:pPr>
      <w:r>
        <w:t>Do not rely solely on the agent’s own logs to determine what it did. Cross-reference with independent sources: network traffic logs, database audit trails, API gateway logs, email server records, and endpoint detection tools. The agent’s log may be incomplete, corrupted, or deliberately circumvented if the incident involved adversarial manipulation.</w:t>
      </w:r>
    </w:p>
    <w:p w14:paraId="2E87319A" w14:textId="77777777" w:rsidR="00794D5A" w:rsidRDefault="00794D5A">
      <w:pPr>
        <w:spacing w:before="120"/>
      </w:pPr>
    </w:p>
    <w:p w14:paraId="13869A0B" w14:textId="77777777" w:rsidR="00794D5A" w:rsidRPr="00BA003D" w:rsidRDefault="00000000" w:rsidP="00BA003D">
      <w:pPr>
        <w:pBdr>
          <w:left w:val="single" w:sz="12" w:space="8" w:color="1D4ED8"/>
        </w:pBdr>
        <w:shd w:val="clear" w:color="auto" w:fill="F0F4FF"/>
        <w:spacing w:before="120" w:after="40" w:line="480" w:lineRule="auto"/>
        <w:ind w:left="240"/>
        <w:rPr>
          <w:sz w:val="32"/>
          <w:szCs w:val="32"/>
        </w:rPr>
      </w:pPr>
      <w:r w:rsidRPr="00BA003D">
        <w:rPr>
          <w:rFonts w:ascii="Georgia" w:eastAsia="Georgia" w:hAnsi="Georgia" w:cs="Georgia"/>
          <w:b/>
          <w:bCs/>
          <w:color w:val="1D4ED8"/>
          <w:sz w:val="32"/>
          <w:szCs w:val="32"/>
        </w:rPr>
        <w:t>Regulatory Cross-References</w:t>
      </w:r>
    </w:p>
    <w:p w14:paraId="2DD05B35" w14:textId="77777777" w:rsidR="00794D5A" w:rsidRDefault="00000000" w:rsidP="00BA003D">
      <w:pPr>
        <w:pStyle w:val="ListParagraph"/>
        <w:numPr>
          <w:ilvl w:val="0"/>
          <w:numId w:val="5"/>
        </w:numPr>
        <w:pBdr>
          <w:left w:val="single" w:sz="12" w:space="8" w:color="1D4ED8"/>
        </w:pBdr>
        <w:shd w:val="clear" w:color="auto" w:fill="F0F4FF"/>
        <w:spacing w:before="40" w:after="40" w:line="480" w:lineRule="auto"/>
      </w:pPr>
      <w:r w:rsidRPr="00BA003D">
        <w:rPr>
          <w:b/>
          <w:bCs/>
          <w:color w:val="1E2B4D"/>
          <w:sz w:val="18"/>
          <w:szCs w:val="18"/>
        </w:rPr>
        <w:t>ISO/IEC 42001:2023</w:t>
      </w:r>
      <w:r w:rsidRPr="00BA003D">
        <w:rPr>
          <w:color w:val="475569"/>
          <w:sz w:val="18"/>
          <w:szCs w:val="18"/>
        </w:rPr>
        <w:t xml:space="preserve"> Clause 7.5 – Documented information (create, update, and control records); Clause 9.1 – Monitoring, measurement, analysis, and evaluation of AI management system performance</w:t>
      </w:r>
    </w:p>
    <w:p w14:paraId="2D47D779" w14:textId="77777777" w:rsidR="00794D5A" w:rsidRDefault="00000000" w:rsidP="00BA003D">
      <w:pPr>
        <w:pStyle w:val="ListParagraph"/>
        <w:numPr>
          <w:ilvl w:val="0"/>
          <w:numId w:val="5"/>
        </w:numPr>
        <w:pBdr>
          <w:left w:val="single" w:sz="12" w:space="8" w:color="1D4ED8"/>
        </w:pBdr>
        <w:shd w:val="clear" w:color="auto" w:fill="F0F4FF"/>
        <w:spacing w:before="40" w:after="40" w:line="480" w:lineRule="auto"/>
      </w:pPr>
      <w:r w:rsidRPr="00BA003D">
        <w:rPr>
          <w:b/>
          <w:bCs/>
          <w:color w:val="1E2B4D"/>
          <w:sz w:val="18"/>
          <w:szCs w:val="18"/>
        </w:rPr>
        <w:t>NIST AI RMF 1.0</w:t>
      </w:r>
      <w:r w:rsidRPr="00BA003D">
        <w:rPr>
          <w:color w:val="475569"/>
          <w:sz w:val="18"/>
          <w:szCs w:val="18"/>
        </w:rPr>
        <w:t xml:space="preserve"> MEASURE 2.6 – AI system metrics and logs are used to assess system performance and trustworthiness; GOVERN 1.7 – Processes and procedures for incident response, recovery, and communication</w:t>
      </w:r>
    </w:p>
    <w:p w14:paraId="382200EB" w14:textId="77777777" w:rsidR="00794D5A" w:rsidRDefault="00000000" w:rsidP="00BA003D">
      <w:pPr>
        <w:pStyle w:val="ListParagraph"/>
        <w:numPr>
          <w:ilvl w:val="0"/>
          <w:numId w:val="5"/>
        </w:numPr>
        <w:pBdr>
          <w:left w:val="single" w:sz="12" w:space="8" w:color="1D4ED8"/>
        </w:pBdr>
        <w:shd w:val="clear" w:color="auto" w:fill="F0F4FF"/>
        <w:spacing w:before="40" w:after="40" w:line="480" w:lineRule="auto"/>
      </w:pPr>
      <w:r w:rsidRPr="00BA003D">
        <w:rPr>
          <w:b/>
          <w:bCs/>
          <w:color w:val="1E2B4D"/>
          <w:sz w:val="18"/>
          <w:szCs w:val="18"/>
        </w:rPr>
        <w:t>EU AI Act</w:t>
      </w:r>
      <w:r w:rsidRPr="00BA003D">
        <w:rPr>
          <w:color w:val="475569"/>
          <w:sz w:val="18"/>
          <w:szCs w:val="18"/>
        </w:rPr>
        <w:t xml:space="preserve"> Article 12 – Record-keeping requirements for high-risk AI (automatic logging of events throughout the system lifecycle); Article 19 – Automatically generated logs shall be kept for a period appropriate to the intended purpose of the high-risk AI system</w:t>
      </w:r>
    </w:p>
    <w:p w14:paraId="0B8A078C" w14:textId="77777777" w:rsidR="00794D5A" w:rsidRDefault="00000000" w:rsidP="00BA003D">
      <w:pPr>
        <w:pStyle w:val="ListParagraph"/>
        <w:numPr>
          <w:ilvl w:val="0"/>
          <w:numId w:val="5"/>
        </w:numPr>
        <w:pBdr>
          <w:left w:val="single" w:sz="12" w:space="8" w:color="1D4ED8"/>
        </w:pBdr>
        <w:shd w:val="clear" w:color="auto" w:fill="F0F4FF"/>
        <w:spacing w:before="40" w:after="40" w:line="480" w:lineRule="auto"/>
      </w:pPr>
      <w:r w:rsidRPr="00BA003D">
        <w:rPr>
          <w:b/>
          <w:bCs/>
          <w:color w:val="1E2B4D"/>
          <w:sz w:val="18"/>
          <w:szCs w:val="18"/>
        </w:rPr>
        <w:t>Colorado AI Act</w:t>
      </w:r>
      <w:r w:rsidRPr="00BA003D">
        <w:rPr>
          <w:color w:val="475569"/>
          <w:sz w:val="18"/>
          <w:szCs w:val="18"/>
        </w:rPr>
        <w:t xml:space="preserve"> C.R.S. 6-1-1702(1)(a) – Documentation and record-keeping requirements for developers and deployers of high-risk AI systems</w:t>
      </w:r>
    </w:p>
    <w:p w14:paraId="495046F9" w14:textId="77777777" w:rsidR="00794D5A" w:rsidRDefault="00000000" w:rsidP="00BA003D">
      <w:pPr>
        <w:pStyle w:val="ListParagraph"/>
        <w:numPr>
          <w:ilvl w:val="0"/>
          <w:numId w:val="5"/>
        </w:numPr>
        <w:pBdr>
          <w:left w:val="single" w:sz="12" w:space="8" w:color="1D4ED8"/>
        </w:pBdr>
        <w:shd w:val="clear" w:color="auto" w:fill="F0F4FF"/>
        <w:spacing w:before="40" w:after="40" w:line="480" w:lineRule="auto"/>
      </w:pPr>
      <w:r w:rsidRPr="00BA003D">
        <w:rPr>
          <w:b/>
          <w:bCs/>
          <w:color w:val="1E2B4D"/>
          <w:sz w:val="18"/>
          <w:szCs w:val="18"/>
        </w:rPr>
        <w:t>Singapore</w:t>
      </w:r>
      <w:r w:rsidRPr="00BA003D">
        <w:rPr>
          <w:color w:val="475569"/>
          <w:sz w:val="18"/>
          <w:szCs w:val="18"/>
        </w:rPr>
        <w:t xml:space="preserve"> PDPA Section 26B – Organisation must assess the data breach in a reasonable and expeditious manner and document the assessment; PDPC Guide on Managing Data Breaches 2.0 – Organisations should keep detailed records of their breach response</w:t>
      </w:r>
    </w:p>
    <w:p w14:paraId="27BF9261" w14:textId="77777777" w:rsidR="00794D5A" w:rsidRDefault="00000000">
      <w:r>
        <w:br w:type="page"/>
      </w:r>
    </w:p>
    <w:p w14:paraId="7B5F577F" w14:textId="77777777" w:rsidR="00794D5A" w:rsidRDefault="00000000">
      <w:pPr>
        <w:pStyle w:val="Heading1"/>
      </w:pPr>
      <w:r>
        <w:lastRenderedPageBreak/>
        <w:t>3. Assess Impact</w:t>
      </w:r>
    </w:p>
    <w:p w14:paraId="13AC8F30" w14:textId="77777777" w:rsidR="00794D5A" w:rsidRDefault="00794D5A">
      <w:pPr>
        <w:pBdr>
          <w:bottom w:val="single" w:sz="6" w:space="4" w:color="1E2B4D"/>
        </w:pBdr>
        <w:spacing w:after="300"/>
      </w:pPr>
    </w:p>
    <w:p w14:paraId="5DFDD537" w14:textId="77777777" w:rsidR="00794D5A" w:rsidRDefault="00000000">
      <w:pPr>
        <w:spacing w:after="200"/>
      </w:pPr>
      <w:r>
        <w:t>With containment confirmed and evidence preserved, the next step is to determine the actual scope and severity of what happened. This assessment drives every downstream decision: whether regulatory notification is required, which stakeholders must be informed, and what remediation actions are necessary. Underestimating impact at this stage is the most common and most costly mistake in incident response.</w:t>
      </w:r>
    </w:p>
    <w:p w14:paraId="27D205BF" w14:textId="77777777" w:rsidR="00BA003D" w:rsidRDefault="00BA003D">
      <w:pPr>
        <w:spacing w:after="200"/>
      </w:pPr>
    </w:p>
    <w:p w14:paraId="6DE98255" w14:textId="03361E0D" w:rsidR="00794D5A" w:rsidRDefault="00BA003D">
      <w:pPr>
        <w:spacing w:before="100"/>
      </w:pPr>
      <w:r>
        <w:rPr>
          <w:noProof/>
        </w:rPr>
        <w:drawing>
          <wp:inline distT="0" distB="0" distL="0" distR="0" wp14:anchorId="46BF6677" wp14:editId="1122E84A">
            <wp:extent cx="5943600" cy="3315970"/>
            <wp:effectExtent l="0" t="0" r="0" b="0"/>
            <wp:docPr id="1741833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15970"/>
                    </a:xfrm>
                    <a:prstGeom prst="rect">
                      <a:avLst/>
                    </a:prstGeom>
                    <a:noFill/>
                    <a:ln>
                      <a:noFill/>
                    </a:ln>
                  </pic:spPr>
                </pic:pic>
              </a:graphicData>
            </a:graphic>
          </wp:inline>
        </w:drawing>
      </w:r>
    </w:p>
    <w:p w14:paraId="78636A0D" w14:textId="77777777" w:rsidR="00BA003D" w:rsidRDefault="00BA003D">
      <w:pPr>
        <w:spacing w:before="100"/>
      </w:pPr>
    </w:p>
    <w:p w14:paraId="3239F18A" w14:textId="77777777" w:rsidR="00794D5A" w:rsidRDefault="00000000">
      <w:pPr>
        <w:numPr>
          <w:ilvl w:val="0"/>
          <w:numId w:val="1"/>
        </w:numPr>
        <w:spacing w:after="120"/>
      </w:pPr>
      <w:r>
        <w:rPr>
          <w:b/>
          <w:bCs/>
        </w:rPr>
        <w:t>Data accessed or exposed</w:t>
      </w:r>
      <w:r>
        <w:t xml:space="preserve"> – Determine exactly what data the agent accessed, processed, transmitted, or altered during the incident window. Classify the data by sensitivity: synthetic or test data (low impact), internal business data (moderate impact), customer or employee personal data including PII (high impact, likely triggers regulatory notification), and regulated data such as financial records, health information, or data subject to specific legal protections (critical impact, almost certainly triggers regulatory notification and may require sector-specific disclosures). For each data category, establish whether the data was only read, or whether it was copied, transmitted externally, modified, or deleted. External transmission of personal data to an unauthorised destination is the scenario that triggers the most severe regulatory obligations across all five jurisdictions.</w:t>
      </w:r>
    </w:p>
    <w:p w14:paraId="73F3FBF1" w14:textId="77777777" w:rsidR="00794D5A" w:rsidRDefault="00000000">
      <w:pPr>
        <w:numPr>
          <w:ilvl w:val="0"/>
          <w:numId w:val="1"/>
        </w:numPr>
        <w:spacing w:after="120"/>
      </w:pPr>
      <w:r>
        <w:rPr>
          <w:b/>
          <w:bCs/>
        </w:rPr>
        <w:t>Actions taken by the agent</w:t>
      </w:r>
      <w:r>
        <w:t xml:space="preserve"> – List every action the agent performed that </w:t>
      </w:r>
      <w:proofErr w:type="gramStart"/>
      <w:r>
        <w:t>had an effect on</w:t>
      </w:r>
      <w:proofErr w:type="gramEnd"/>
      <w:r>
        <w:t xml:space="preserve"> an external system or a real-world outcome. This </w:t>
      </w:r>
      <w:proofErr w:type="gramStart"/>
      <w:r>
        <w:t>includes:</w:t>
      </w:r>
      <w:proofErr w:type="gramEnd"/>
      <w:r>
        <w:t xml:space="preserve"> emails sent or messages posted (to whom, what content), database records created, modified, or deleted, files written, uploaded, or shared, API calls to third-party services (especially those involving payments, communications, or data transfers), and any autonomous decisions the agent made without </w:t>
      </w:r>
      <w:r>
        <w:lastRenderedPageBreak/>
        <w:t>human approval. Pay particular attention to irreversible actions: an email sent cannot be unsent, a payment processed cannot always be reversed, and data transmitted to an external party cannot be recalled. The irreversibility of actions determines the urgency of the escalation in Step 4.</w:t>
      </w:r>
    </w:p>
    <w:p w14:paraId="72155152" w14:textId="77777777" w:rsidR="00794D5A" w:rsidRDefault="00000000">
      <w:pPr>
        <w:numPr>
          <w:ilvl w:val="0"/>
          <w:numId w:val="1"/>
        </w:numPr>
        <w:spacing w:after="120"/>
      </w:pPr>
      <w:r>
        <w:rPr>
          <w:b/>
          <w:bCs/>
        </w:rPr>
        <w:t>Downstream systems affected</w:t>
      </w:r>
      <w:r>
        <w:t xml:space="preserve"> – Identify every third-party service, internal system, partner API, customer-facing application, or data pipeline that the agent interacted with or that depends on data the agent may have corrupted. For each downstream system, assess whether: the system received tainted, incorrect, or unauthorised data from the agent, the system took automated actions based on the agent’s output (cascading impact), the system’s integrity can be independently verified, and the system’s owner has been identified and can be contacted. If the agent had </w:t>
      </w:r>
      <w:proofErr w:type="gramStart"/>
      <w:r>
        <w:t>write</w:t>
      </w:r>
      <w:proofErr w:type="gramEnd"/>
      <w:r>
        <w:t xml:space="preserve"> access to systems that feed into other automated processes, the incident may have propagated beyond the direct blast radius. Trace the full chain of data flow downstream until you reach a system boundary where no further impact is possible.</w:t>
      </w:r>
    </w:p>
    <w:p w14:paraId="36DDB1E6" w14:textId="77777777" w:rsidR="00794D5A" w:rsidRDefault="00000000">
      <w:pPr>
        <w:spacing w:after="200"/>
      </w:pPr>
      <w:r>
        <w:t>Document all findings in a structured impact assessment report. This report is the primary input for the escalation decisions in Step 4 and becomes part of the evidence package for any regulatory filing.</w:t>
      </w:r>
    </w:p>
    <w:p w14:paraId="71FE88D0" w14:textId="77777777" w:rsidR="00794D5A" w:rsidRDefault="00794D5A">
      <w:pPr>
        <w:spacing w:before="120"/>
      </w:pPr>
    </w:p>
    <w:p w14:paraId="4CD37F9C" w14:textId="77777777" w:rsidR="00794D5A" w:rsidRPr="00BA003D" w:rsidRDefault="00000000" w:rsidP="00BA003D">
      <w:pPr>
        <w:pBdr>
          <w:left w:val="single" w:sz="12" w:space="8" w:color="1D4ED8"/>
        </w:pBdr>
        <w:shd w:val="clear" w:color="auto" w:fill="F0F4FF"/>
        <w:spacing w:before="120" w:after="40" w:line="480" w:lineRule="auto"/>
        <w:ind w:left="240"/>
        <w:rPr>
          <w:sz w:val="32"/>
          <w:szCs w:val="32"/>
        </w:rPr>
      </w:pPr>
      <w:r w:rsidRPr="00BA003D">
        <w:rPr>
          <w:rFonts w:ascii="Georgia" w:eastAsia="Georgia" w:hAnsi="Georgia" w:cs="Georgia"/>
          <w:b/>
          <w:bCs/>
          <w:color w:val="1D4ED8"/>
          <w:sz w:val="32"/>
          <w:szCs w:val="32"/>
        </w:rPr>
        <w:t>Regulatory Cross-References</w:t>
      </w:r>
    </w:p>
    <w:p w14:paraId="68D35AD0" w14:textId="77777777" w:rsidR="00794D5A" w:rsidRDefault="00000000" w:rsidP="00BA003D">
      <w:pPr>
        <w:pStyle w:val="ListParagraph"/>
        <w:numPr>
          <w:ilvl w:val="0"/>
          <w:numId w:val="6"/>
        </w:numPr>
        <w:pBdr>
          <w:left w:val="single" w:sz="12" w:space="8" w:color="1D4ED8"/>
        </w:pBdr>
        <w:shd w:val="clear" w:color="auto" w:fill="F0F4FF"/>
        <w:spacing w:before="40" w:after="40" w:line="480" w:lineRule="auto"/>
      </w:pPr>
      <w:r w:rsidRPr="00BA003D">
        <w:rPr>
          <w:b/>
          <w:bCs/>
          <w:color w:val="1E2B4D"/>
          <w:sz w:val="18"/>
          <w:szCs w:val="18"/>
        </w:rPr>
        <w:t>ISO/IEC 42001:2023</w:t>
      </w:r>
      <w:r w:rsidRPr="00BA003D">
        <w:rPr>
          <w:color w:val="475569"/>
          <w:sz w:val="18"/>
          <w:szCs w:val="18"/>
        </w:rPr>
        <w:t xml:space="preserve"> Clause 6.1 – Actions to address risks and opportunities; Annex A.5 – Assessing impacts of AI systems on individuals, groups, and societies</w:t>
      </w:r>
    </w:p>
    <w:p w14:paraId="0F4FC0EC" w14:textId="77777777" w:rsidR="00794D5A" w:rsidRDefault="00000000" w:rsidP="00BA003D">
      <w:pPr>
        <w:pStyle w:val="ListParagraph"/>
        <w:numPr>
          <w:ilvl w:val="0"/>
          <w:numId w:val="6"/>
        </w:numPr>
        <w:pBdr>
          <w:left w:val="single" w:sz="12" w:space="8" w:color="1D4ED8"/>
        </w:pBdr>
        <w:shd w:val="clear" w:color="auto" w:fill="F0F4FF"/>
        <w:spacing w:before="40" w:after="40" w:line="480" w:lineRule="auto"/>
      </w:pPr>
      <w:r w:rsidRPr="00BA003D">
        <w:rPr>
          <w:b/>
          <w:bCs/>
          <w:color w:val="1E2B4D"/>
          <w:sz w:val="18"/>
          <w:szCs w:val="18"/>
        </w:rPr>
        <w:t>NIST AI RMF 1.0</w:t>
      </w:r>
      <w:r w:rsidRPr="00BA003D">
        <w:rPr>
          <w:color w:val="475569"/>
          <w:sz w:val="18"/>
          <w:szCs w:val="18"/>
        </w:rPr>
        <w:t xml:space="preserve"> MAP 2 – Categorisation of the AI system and its context of use; MEASURE 1 – Appropriate methods and metrics are identified and applied for AI risk measurement</w:t>
      </w:r>
    </w:p>
    <w:p w14:paraId="01A8CBAB" w14:textId="77777777" w:rsidR="00794D5A" w:rsidRDefault="00000000" w:rsidP="00BA003D">
      <w:pPr>
        <w:pStyle w:val="ListParagraph"/>
        <w:numPr>
          <w:ilvl w:val="0"/>
          <w:numId w:val="6"/>
        </w:numPr>
        <w:pBdr>
          <w:left w:val="single" w:sz="12" w:space="8" w:color="1D4ED8"/>
        </w:pBdr>
        <w:shd w:val="clear" w:color="auto" w:fill="F0F4FF"/>
        <w:spacing w:before="40" w:after="40" w:line="480" w:lineRule="auto"/>
      </w:pPr>
      <w:r w:rsidRPr="00BA003D">
        <w:rPr>
          <w:b/>
          <w:bCs/>
          <w:color w:val="1E2B4D"/>
          <w:sz w:val="18"/>
          <w:szCs w:val="18"/>
        </w:rPr>
        <w:t>EU AI Act</w:t>
      </w:r>
      <w:r w:rsidRPr="00BA003D">
        <w:rPr>
          <w:color w:val="475569"/>
          <w:sz w:val="18"/>
          <w:szCs w:val="18"/>
        </w:rPr>
        <w:t xml:space="preserve"> Article 9 – Risk management system for high-risk AI (identification, estimation, and evaluation of risks); Article 27 – Fundamental rights impact assessment for high-risk AI systems</w:t>
      </w:r>
    </w:p>
    <w:p w14:paraId="439A1FDC" w14:textId="77777777" w:rsidR="00794D5A" w:rsidRDefault="00000000" w:rsidP="00BA003D">
      <w:pPr>
        <w:pStyle w:val="ListParagraph"/>
        <w:numPr>
          <w:ilvl w:val="0"/>
          <w:numId w:val="6"/>
        </w:numPr>
        <w:pBdr>
          <w:left w:val="single" w:sz="12" w:space="8" w:color="1D4ED8"/>
        </w:pBdr>
        <w:shd w:val="clear" w:color="auto" w:fill="F0F4FF"/>
        <w:spacing w:before="40" w:after="40" w:line="480" w:lineRule="auto"/>
      </w:pPr>
      <w:r w:rsidRPr="00BA003D">
        <w:rPr>
          <w:b/>
          <w:bCs/>
          <w:color w:val="1E2B4D"/>
          <w:sz w:val="18"/>
          <w:szCs w:val="18"/>
        </w:rPr>
        <w:t>Colorado AI Act</w:t>
      </w:r>
      <w:r w:rsidRPr="00BA003D">
        <w:rPr>
          <w:color w:val="475569"/>
          <w:sz w:val="18"/>
          <w:szCs w:val="18"/>
        </w:rPr>
        <w:t xml:space="preserve"> C.R.S. 6-1-1702(2)(b) – Deployer must report discovery of algorithmic discrimination to the Attorney General within 90 days</w:t>
      </w:r>
    </w:p>
    <w:p w14:paraId="0AC5125E" w14:textId="77777777" w:rsidR="00794D5A" w:rsidRDefault="00000000" w:rsidP="00BA003D">
      <w:pPr>
        <w:pStyle w:val="ListParagraph"/>
        <w:numPr>
          <w:ilvl w:val="0"/>
          <w:numId w:val="6"/>
        </w:numPr>
        <w:pBdr>
          <w:left w:val="single" w:sz="12" w:space="8" w:color="1D4ED8"/>
        </w:pBdr>
        <w:shd w:val="clear" w:color="auto" w:fill="F0F4FF"/>
        <w:spacing w:before="40" w:after="40" w:line="480" w:lineRule="auto"/>
      </w:pPr>
      <w:r w:rsidRPr="00BA003D">
        <w:rPr>
          <w:b/>
          <w:bCs/>
          <w:color w:val="1E2B4D"/>
          <w:sz w:val="18"/>
          <w:szCs w:val="18"/>
        </w:rPr>
        <w:t>Singapore</w:t>
      </w:r>
      <w:r w:rsidRPr="00BA003D">
        <w:rPr>
          <w:color w:val="475569"/>
          <w:sz w:val="18"/>
          <w:szCs w:val="18"/>
        </w:rPr>
        <w:t xml:space="preserve"> PDPA Section 26</w:t>
      </w:r>
      <w:proofErr w:type="gramStart"/>
      <w:r w:rsidRPr="00BA003D">
        <w:rPr>
          <w:color w:val="475569"/>
          <w:sz w:val="18"/>
          <w:szCs w:val="18"/>
        </w:rPr>
        <w:t>B(</w:t>
      </w:r>
      <w:proofErr w:type="gramEnd"/>
      <w:r w:rsidRPr="00BA003D">
        <w:rPr>
          <w:color w:val="475569"/>
          <w:sz w:val="18"/>
          <w:szCs w:val="18"/>
        </w:rPr>
        <w:t>2) – Assess whether the breach meets the significant harm threshold or significant scale threshold (500 or more affected individuals) for mandatory notification to the PDPC</w:t>
      </w:r>
    </w:p>
    <w:p w14:paraId="455E5E1D" w14:textId="77777777" w:rsidR="00794D5A" w:rsidRDefault="00000000">
      <w:r>
        <w:br w:type="page"/>
      </w:r>
    </w:p>
    <w:p w14:paraId="504D60B1" w14:textId="77777777" w:rsidR="00794D5A" w:rsidRDefault="00000000">
      <w:pPr>
        <w:pStyle w:val="Heading1"/>
      </w:pPr>
      <w:r>
        <w:lastRenderedPageBreak/>
        <w:t>4. Escalate</w:t>
      </w:r>
    </w:p>
    <w:p w14:paraId="43833E31" w14:textId="77777777" w:rsidR="00794D5A" w:rsidRDefault="00794D5A">
      <w:pPr>
        <w:pBdr>
          <w:bottom w:val="single" w:sz="6" w:space="4" w:color="1E2B4D"/>
        </w:pBdr>
        <w:spacing w:after="300"/>
      </w:pPr>
    </w:p>
    <w:p w14:paraId="1CF5BA1D" w14:textId="77777777" w:rsidR="00794D5A" w:rsidRDefault="00000000">
      <w:pPr>
        <w:spacing w:after="200"/>
      </w:pPr>
      <w:r>
        <w:t>Escalation is not optional and it is not discretionary. Once the impact assessment is complete, the response team must determine who needs to be informed, what they need to know, and by when. Regulatory deadlines are strict and the penalties for late notification can exceed the penalties for the breach itself. Internal escalation to leadership must happen in parallel with regulatory assessment, not sequentially.</w:t>
      </w:r>
    </w:p>
    <w:p w14:paraId="1E706E51" w14:textId="77777777" w:rsidR="00BA003D" w:rsidRDefault="00BA003D">
      <w:pPr>
        <w:spacing w:after="200"/>
      </w:pPr>
    </w:p>
    <w:p w14:paraId="19F1BBFC" w14:textId="2843575B" w:rsidR="00794D5A" w:rsidRDefault="00BA003D">
      <w:pPr>
        <w:spacing w:before="100"/>
      </w:pPr>
      <w:r>
        <w:rPr>
          <w:noProof/>
        </w:rPr>
        <w:drawing>
          <wp:inline distT="0" distB="0" distL="0" distR="0" wp14:anchorId="4F6299C8" wp14:editId="6B6F4F55">
            <wp:extent cx="5943600" cy="3315970"/>
            <wp:effectExtent l="0" t="0" r="0" b="0"/>
            <wp:docPr id="984897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15970"/>
                    </a:xfrm>
                    <a:prstGeom prst="rect">
                      <a:avLst/>
                    </a:prstGeom>
                    <a:noFill/>
                    <a:ln>
                      <a:noFill/>
                    </a:ln>
                  </pic:spPr>
                </pic:pic>
              </a:graphicData>
            </a:graphic>
          </wp:inline>
        </w:drawing>
      </w:r>
    </w:p>
    <w:p w14:paraId="1E91F347" w14:textId="77777777" w:rsidR="00BA003D" w:rsidRDefault="00BA003D">
      <w:pPr>
        <w:spacing w:before="100"/>
      </w:pPr>
    </w:p>
    <w:p w14:paraId="69C57707" w14:textId="77777777" w:rsidR="00794D5A" w:rsidRDefault="00000000">
      <w:pPr>
        <w:numPr>
          <w:ilvl w:val="0"/>
          <w:numId w:val="1"/>
        </w:numPr>
        <w:spacing w:after="120"/>
      </w:pPr>
      <w:r>
        <w:rPr>
          <w:b/>
          <w:bCs/>
        </w:rPr>
        <w:t>Internal teams</w:t>
      </w:r>
      <w:r>
        <w:t xml:space="preserve"> – Notify the information security team, legal counsel, the data protection officer (if appointed), and the business owners of affected systems. Provide each team with a concise summary that </w:t>
      </w:r>
      <w:proofErr w:type="gramStart"/>
      <w:r>
        <w:t>includes:</w:t>
      </w:r>
      <w:proofErr w:type="gramEnd"/>
      <w:r>
        <w:t xml:space="preserve"> what happened (one paragraph), what data or systems are affected, what containment actions have been taken, what the current blast radius assessment shows, and what decisions are needed from them. Do not wait for a complete investigation before notifying internal stakeholders. They need to be aware that an incident is underway so they can begin their own workstreams: legal will assess regulatory notification obligations, security will verify containment is holding, and business owners will assess customer impact.</w:t>
      </w:r>
    </w:p>
    <w:p w14:paraId="5774487E" w14:textId="77777777" w:rsidR="00794D5A" w:rsidRDefault="00000000">
      <w:pPr>
        <w:numPr>
          <w:ilvl w:val="0"/>
          <w:numId w:val="1"/>
        </w:numPr>
        <w:spacing w:after="120"/>
      </w:pPr>
      <w:r>
        <w:rPr>
          <w:b/>
          <w:bCs/>
        </w:rPr>
        <w:t>Leadership and executive team</w:t>
      </w:r>
      <w:r>
        <w:t xml:space="preserve"> – Brief senior management and, where board governance requires it, the board or audit committee. The executive briefing should be a short, structured document </w:t>
      </w:r>
      <w:proofErr w:type="gramStart"/>
      <w:r>
        <w:t>covering:</w:t>
      </w:r>
      <w:proofErr w:type="gramEnd"/>
      <w:r>
        <w:t xml:space="preserve"> incident summary (what, when, how discovered), </w:t>
      </w:r>
      <w:proofErr w:type="gramStart"/>
      <w:r>
        <w:t>current status</w:t>
      </w:r>
      <w:proofErr w:type="gramEnd"/>
      <w:r>
        <w:t xml:space="preserve"> (contained or still active), data exposure scope (confirmed and suspected), regulatory notification obligations identified so far, customer or partner impact (confirmed and suspected), and recommended next steps with associated timelines. Leadership needs enough information to </w:t>
      </w:r>
      <w:r>
        <w:lastRenderedPageBreak/>
        <w:t>make decisions about external communications, customer notification, and resource allocation for remediation. They do not need technical details about the kill switch or log formats.</w:t>
      </w:r>
    </w:p>
    <w:p w14:paraId="230DFAC4" w14:textId="77777777" w:rsidR="00794D5A" w:rsidRDefault="00000000">
      <w:pPr>
        <w:numPr>
          <w:ilvl w:val="0"/>
          <w:numId w:val="1"/>
        </w:numPr>
        <w:spacing w:after="120"/>
      </w:pPr>
      <w:r>
        <w:rPr>
          <w:b/>
          <w:bCs/>
        </w:rPr>
        <w:t>Regulatory and external disclosure</w:t>
      </w:r>
      <w:r>
        <w:t xml:space="preserve"> – Evaluate notification obligations under each applicable regulatory framework. The deadlines vary significantly across </w:t>
      </w:r>
      <w:proofErr w:type="gramStart"/>
      <w:r>
        <w:t>jurisdictions</w:t>
      </w:r>
      <w:proofErr w:type="gramEnd"/>
      <w:r>
        <w:t xml:space="preserve"> and the clock starts at different points depending on the regulation. Under the EU AI Act Article 73, providers of high-risk AI systems must report serious incidents to the market surveillance authority within 15 days of becoming aware, within 2 days for widespread infringements or critical infrastructure disruption, and within 10 days if death is suspected. Under Singapore’s PDPA, the organisation must notify the PDPC within 3 calendar days of assessing the breach as </w:t>
      </w:r>
      <w:proofErr w:type="gramStart"/>
      <w:r>
        <w:t>notifiable, and</w:t>
      </w:r>
      <w:proofErr w:type="gramEnd"/>
      <w:r>
        <w:t xml:space="preserve"> must notify affected individuals as soon as practicable. Under the Colorado AI Act, deployers must notify the Attorney General within 90 days of discovering algorithmic discrimination. If the incident involves personal data of EU residents, GDPR Article 33 may also apply (72-hour notification to the supervisory authority). Contractual obligations to customers, partners, and insurers must also be assessed: many enterprise contracts contain incident notification clauses with their own deadlines that may be shorter than regulatory requirements.</w:t>
      </w:r>
    </w:p>
    <w:p w14:paraId="6A5A07BE" w14:textId="77777777" w:rsidR="00794D5A" w:rsidRDefault="00000000">
      <w:pPr>
        <w:spacing w:after="200"/>
      </w:pPr>
      <w:r>
        <w:t>Maintain a running log of every notification sent, to whom, when, and the content. This log is itself evidence that will be reviewed by regulators and auditors.</w:t>
      </w:r>
    </w:p>
    <w:p w14:paraId="1AE7FC5C" w14:textId="77777777" w:rsidR="00794D5A" w:rsidRDefault="00794D5A">
      <w:pPr>
        <w:spacing w:before="120"/>
      </w:pPr>
    </w:p>
    <w:p w14:paraId="50C92452" w14:textId="77777777" w:rsidR="00794D5A" w:rsidRPr="00BA003D" w:rsidRDefault="00000000" w:rsidP="00BA003D">
      <w:pPr>
        <w:pBdr>
          <w:left w:val="single" w:sz="12" w:space="8" w:color="1D4ED8"/>
        </w:pBdr>
        <w:shd w:val="clear" w:color="auto" w:fill="F0F4FF"/>
        <w:spacing w:before="120" w:after="40" w:line="480" w:lineRule="auto"/>
        <w:ind w:left="240"/>
        <w:rPr>
          <w:sz w:val="32"/>
          <w:szCs w:val="32"/>
        </w:rPr>
      </w:pPr>
      <w:r w:rsidRPr="00BA003D">
        <w:rPr>
          <w:rFonts w:ascii="Georgia" w:eastAsia="Georgia" w:hAnsi="Georgia" w:cs="Georgia"/>
          <w:b/>
          <w:bCs/>
          <w:color w:val="1D4ED8"/>
          <w:sz w:val="32"/>
          <w:szCs w:val="32"/>
        </w:rPr>
        <w:t>Regulatory Cross-References</w:t>
      </w:r>
    </w:p>
    <w:p w14:paraId="4F8341E5" w14:textId="77777777" w:rsidR="00794D5A" w:rsidRDefault="00000000" w:rsidP="00BA003D">
      <w:pPr>
        <w:pStyle w:val="ListParagraph"/>
        <w:numPr>
          <w:ilvl w:val="0"/>
          <w:numId w:val="7"/>
        </w:numPr>
        <w:pBdr>
          <w:left w:val="single" w:sz="12" w:space="8" w:color="1D4ED8"/>
        </w:pBdr>
        <w:shd w:val="clear" w:color="auto" w:fill="F0F4FF"/>
        <w:spacing w:before="40" w:after="40" w:line="480" w:lineRule="auto"/>
      </w:pPr>
      <w:r w:rsidRPr="00BA003D">
        <w:rPr>
          <w:b/>
          <w:bCs/>
          <w:color w:val="1E2B4D"/>
          <w:sz w:val="18"/>
          <w:szCs w:val="18"/>
        </w:rPr>
        <w:t>ISO/IEC 42001:2023</w:t>
      </w:r>
      <w:r w:rsidRPr="00BA003D">
        <w:rPr>
          <w:color w:val="475569"/>
          <w:sz w:val="18"/>
          <w:szCs w:val="18"/>
        </w:rPr>
        <w:t xml:space="preserve"> Clause 5.1 – Leadership and commitment (top management shall ensure AI management system achieves its intended outcomes); Clause 7.4 – Communication (determine internal and external communications relevant to the AI management system)</w:t>
      </w:r>
    </w:p>
    <w:p w14:paraId="7983BB70" w14:textId="77777777" w:rsidR="00794D5A" w:rsidRDefault="00000000" w:rsidP="00BA003D">
      <w:pPr>
        <w:pStyle w:val="ListParagraph"/>
        <w:numPr>
          <w:ilvl w:val="0"/>
          <w:numId w:val="7"/>
        </w:numPr>
        <w:pBdr>
          <w:left w:val="single" w:sz="12" w:space="8" w:color="1D4ED8"/>
        </w:pBdr>
        <w:shd w:val="clear" w:color="auto" w:fill="F0F4FF"/>
        <w:spacing w:before="40" w:after="40" w:line="480" w:lineRule="auto"/>
      </w:pPr>
      <w:r w:rsidRPr="00BA003D">
        <w:rPr>
          <w:b/>
          <w:bCs/>
          <w:color w:val="1E2B4D"/>
          <w:sz w:val="18"/>
          <w:szCs w:val="18"/>
        </w:rPr>
        <w:t>NIST AI RMF 1.0</w:t>
      </w:r>
      <w:r w:rsidRPr="00BA003D">
        <w:rPr>
          <w:color w:val="475569"/>
          <w:sz w:val="18"/>
          <w:szCs w:val="18"/>
        </w:rPr>
        <w:t xml:space="preserve"> GOVERN 1.7 – Escalation procedures and communication plans are established; MANAGE 4 – Risk treatments are regularly monitored and reported to relevant AI actors</w:t>
      </w:r>
    </w:p>
    <w:p w14:paraId="4DBAC24E" w14:textId="77777777" w:rsidR="00794D5A" w:rsidRDefault="00000000" w:rsidP="00BA003D">
      <w:pPr>
        <w:pStyle w:val="ListParagraph"/>
        <w:numPr>
          <w:ilvl w:val="0"/>
          <w:numId w:val="7"/>
        </w:numPr>
        <w:pBdr>
          <w:left w:val="single" w:sz="12" w:space="8" w:color="1D4ED8"/>
        </w:pBdr>
        <w:shd w:val="clear" w:color="auto" w:fill="F0F4FF"/>
        <w:spacing w:before="40" w:after="40" w:line="480" w:lineRule="auto"/>
      </w:pPr>
      <w:r w:rsidRPr="00BA003D">
        <w:rPr>
          <w:b/>
          <w:bCs/>
          <w:color w:val="1E2B4D"/>
          <w:sz w:val="18"/>
          <w:szCs w:val="18"/>
        </w:rPr>
        <w:t>EU AI Act</w:t>
      </w:r>
      <w:r w:rsidRPr="00BA003D">
        <w:rPr>
          <w:color w:val="475569"/>
          <w:sz w:val="18"/>
          <w:szCs w:val="18"/>
        </w:rPr>
        <w:t xml:space="preserve"> Article 73 – Reporting of serious incidents (≤15 days standard; ≤2 days for widespread infringement or critical infrastructure; ≤10 days if death suspected); Article 73(5) – Provider may submit initial incomplete report with supplemental information to follow</w:t>
      </w:r>
    </w:p>
    <w:p w14:paraId="10BD05AD" w14:textId="77777777" w:rsidR="00794D5A" w:rsidRDefault="00000000" w:rsidP="00BA003D">
      <w:pPr>
        <w:pStyle w:val="ListParagraph"/>
        <w:numPr>
          <w:ilvl w:val="0"/>
          <w:numId w:val="7"/>
        </w:numPr>
        <w:pBdr>
          <w:left w:val="single" w:sz="12" w:space="8" w:color="1D4ED8"/>
        </w:pBdr>
        <w:shd w:val="clear" w:color="auto" w:fill="F0F4FF"/>
        <w:spacing w:before="40" w:after="40" w:line="480" w:lineRule="auto"/>
      </w:pPr>
      <w:r w:rsidRPr="00BA003D">
        <w:rPr>
          <w:b/>
          <w:bCs/>
          <w:color w:val="1E2B4D"/>
          <w:sz w:val="18"/>
          <w:szCs w:val="18"/>
        </w:rPr>
        <w:t>Colorado AI Act</w:t>
      </w:r>
      <w:r w:rsidRPr="00BA003D">
        <w:rPr>
          <w:color w:val="475569"/>
          <w:sz w:val="18"/>
          <w:szCs w:val="18"/>
        </w:rPr>
        <w:t xml:space="preserve"> C.R.S. 6-1-1702(2)(b) – Deployer must notify the Attorney General within 90 days of discovering that the high-risk AI system has caused algorithmic discrimination</w:t>
      </w:r>
    </w:p>
    <w:p w14:paraId="3E8F816F" w14:textId="77777777" w:rsidR="00794D5A" w:rsidRDefault="00000000" w:rsidP="00BA003D">
      <w:pPr>
        <w:pStyle w:val="ListParagraph"/>
        <w:numPr>
          <w:ilvl w:val="0"/>
          <w:numId w:val="7"/>
        </w:numPr>
        <w:pBdr>
          <w:left w:val="single" w:sz="12" w:space="8" w:color="1D4ED8"/>
        </w:pBdr>
        <w:shd w:val="clear" w:color="auto" w:fill="F0F4FF"/>
        <w:spacing w:before="40" w:after="40" w:line="480" w:lineRule="auto"/>
      </w:pPr>
      <w:r w:rsidRPr="00BA003D">
        <w:rPr>
          <w:b/>
          <w:bCs/>
          <w:color w:val="1E2B4D"/>
          <w:sz w:val="18"/>
          <w:szCs w:val="18"/>
        </w:rPr>
        <w:t>Singapore</w:t>
      </w:r>
      <w:r w:rsidRPr="00BA003D">
        <w:rPr>
          <w:color w:val="475569"/>
          <w:sz w:val="18"/>
          <w:szCs w:val="18"/>
        </w:rPr>
        <w:t xml:space="preserve"> PDPA Section 26D – Notify the PDPC within 3 calendar days of assessing the breach as notifiable; Section 26C – Notify affected individuals as soon as practicable if breach is likely to result in significant harm; Cybersecurity Act Section 14 – CII owners must report incidents within prescribed timeframes</w:t>
      </w:r>
    </w:p>
    <w:p w14:paraId="22655305" w14:textId="77777777" w:rsidR="00794D5A" w:rsidRDefault="00000000">
      <w:r>
        <w:br w:type="page"/>
      </w:r>
    </w:p>
    <w:p w14:paraId="242EBC89" w14:textId="77777777" w:rsidR="00794D5A" w:rsidRDefault="00000000">
      <w:pPr>
        <w:pStyle w:val="Heading1"/>
      </w:pPr>
      <w:r>
        <w:lastRenderedPageBreak/>
        <w:t>5. Remediate &amp; Improve</w:t>
      </w:r>
    </w:p>
    <w:p w14:paraId="3003A5D1" w14:textId="77777777" w:rsidR="00794D5A" w:rsidRDefault="00794D5A">
      <w:pPr>
        <w:pBdr>
          <w:bottom w:val="single" w:sz="6" w:space="4" w:color="1E2B4D"/>
        </w:pBdr>
        <w:spacing w:after="300"/>
      </w:pPr>
    </w:p>
    <w:p w14:paraId="4CCC97E5" w14:textId="7579AE7C" w:rsidR="00BA003D" w:rsidRDefault="00000000">
      <w:pPr>
        <w:spacing w:after="200"/>
      </w:pPr>
      <w:r>
        <w:t>The incident is not closed when the agent is stopped. It is closed when the root cause has been eliminated, controls have been strengthened, and the organisation can demonstrate that the same failure mode cannot recur. Remediation that only addresses symptoms – without fixing the underlying governance gap – invites repeat incidents and exposes the organisation to regulatory findings of systemic deficiency.</w:t>
      </w:r>
    </w:p>
    <w:p w14:paraId="06AD03BC" w14:textId="5766C679" w:rsidR="00794D5A" w:rsidRDefault="00BA003D">
      <w:pPr>
        <w:spacing w:before="100"/>
      </w:pPr>
      <w:r>
        <w:rPr>
          <w:noProof/>
        </w:rPr>
        <w:drawing>
          <wp:inline distT="0" distB="0" distL="0" distR="0" wp14:anchorId="7A1EF599" wp14:editId="4882A7A8">
            <wp:extent cx="5943600" cy="3315970"/>
            <wp:effectExtent l="0" t="0" r="0" b="0"/>
            <wp:docPr id="2001272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15970"/>
                    </a:xfrm>
                    <a:prstGeom prst="rect">
                      <a:avLst/>
                    </a:prstGeom>
                    <a:noFill/>
                    <a:ln>
                      <a:noFill/>
                    </a:ln>
                  </pic:spPr>
                </pic:pic>
              </a:graphicData>
            </a:graphic>
          </wp:inline>
        </w:drawing>
      </w:r>
    </w:p>
    <w:p w14:paraId="7EE3993A" w14:textId="77777777" w:rsidR="00BA003D" w:rsidRDefault="00BA003D">
      <w:pPr>
        <w:spacing w:before="100"/>
      </w:pPr>
    </w:p>
    <w:p w14:paraId="3674EA8F" w14:textId="77777777" w:rsidR="00794D5A" w:rsidRDefault="00000000">
      <w:pPr>
        <w:numPr>
          <w:ilvl w:val="0"/>
          <w:numId w:val="1"/>
        </w:numPr>
        <w:spacing w:after="120"/>
      </w:pPr>
      <w:r>
        <w:rPr>
          <w:b/>
          <w:bCs/>
        </w:rPr>
        <w:t>Rollback and restore</w:t>
      </w:r>
      <w:r>
        <w:t xml:space="preserve"> – Remove or roll back any malicious, unintended, or unauthorised skills, connectors, MCP integrations, or configuration changes that contributed to the incident. Restore affected systems, databases, and data stores to their last known good state using verified backups. Before restoring any system, confirm that the backup pre-dates the start of the incident and has not been tampered with. If the agent modified records in a production database, determine whether a full restore is necessary or whether targeted corrections to specific records are sufficient. For any external actions the agent took that cannot be technically reversed (emails sent, payments made, data transmitted), initiate manual remediation: contact recipients, reverse transactions, and notify affected parties.</w:t>
      </w:r>
    </w:p>
    <w:p w14:paraId="3E5750AF" w14:textId="77777777" w:rsidR="00794D5A" w:rsidRDefault="00000000">
      <w:pPr>
        <w:numPr>
          <w:ilvl w:val="0"/>
          <w:numId w:val="1"/>
        </w:numPr>
        <w:spacing w:after="120"/>
      </w:pPr>
      <w:r>
        <w:rPr>
          <w:b/>
          <w:bCs/>
        </w:rPr>
        <w:t>Root cause analysis</w:t>
      </w:r>
      <w:r>
        <w:t xml:space="preserve"> – Conduct a structured root cause analysis that goes beyond “the agent did something unexpected.” Determine: why the agent had the access and permissions that enabled the incident (over-provisioning, missing approval gate, shadow deployment), why existing controls did not detect or prevent the behaviour (monitoring gap, missing guardrails, inadequate testing), why the kill switch or containment mechanism was or was not effective, and whether the incident was caused by a defect in the agent’s design, a failure in the governance controls around it, an adversarial attack, or a combination. Document the root </w:t>
      </w:r>
      <w:r>
        <w:lastRenderedPageBreak/>
        <w:t>cause analysis in a formal post-incident report that is retained as part of the organisation’s AI governance records.</w:t>
      </w:r>
    </w:p>
    <w:p w14:paraId="36BF1028" w14:textId="77777777" w:rsidR="00794D5A" w:rsidRDefault="00000000">
      <w:pPr>
        <w:numPr>
          <w:ilvl w:val="0"/>
          <w:numId w:val="1"/>
        </w:numPr>
        <w:spacing w:after="120"/>
      </w:pPr>
      <w:r>
        <w:rPr>
          <w:b/>
          <w:bCs/>
        </w:rPr>
        <w:t>Update controls and governance</w:t>
      </w:r>
      <w:r>
        <w:t xml:space="preserve"> – Based on the root cause analysis, implement specific, measurable improvements to the governance controls that failed. This may include: restricting the permissions and data access scope of agentic AI deployments (principle of least privilege), implementing or strengthening the skill approval workflow so that new skills and connectors cannot be deployed without formal review, adding or improving logging and monitoring to detect the specific failure mode that occurred, testing and validating the kill switch mechanism under realistic conditions, updating the AI acceptable use policy to address the scenario that led to the incident, and adding the incident scenario to the organisation’s agentic AI risk register. Each control improvement should be assigned to a specific owner with a target completion date.</w:t>
      </w:r>
    </w:p>
    <w:p w14:paraId="5ADBAC6A" w14:textId="77777777" w:rsidR="00794D5A" w:rsidRDefault="00000000">
      <w:pPr>
        <w:numPr>
          <w:ilvl w:val="0"/>
          <w:numId w:val="1"/>
        </w:numPr>
        <w:spacing w:after="120"/>
      </w:pPr>
      <w:r>
        <w:rPr>
          <w:b/>
          <w:bCs/>
        </w:rPr>
        <w:t>Retest and validate</w:t>
      </w:r>
      <w:r>
        <w:t xml:space="preserve"> – Before returning the remediated system to production, validate that the specific failure mode cannot recur. This means: re-running the scenario that triggered the incident in a sandboxed environment to confirm the new controls prevent it, conducting a broader regression test to ensure the remediation did not introduce new risks, having the kill switch tested by someone other than the person who implemented it, and obtaining sign-off from the system owner, security team, and (where applicable) the data protection officer before the system is returned to production use.</w:t>
      </w:r>
    </w:p>
    <w:p w14:paraId="14553890" w14:textId="5827D2F7" w:rsidR="00794D5A" w:rsidRDefault="00000000" w:rsidP="00BA003D">
      <w:pPr>
        <w:spacing w:after="200"/>
      </w:pPr>
      <w:r>
        <w:t>Publish a lessons-learned summary to relevant internal stakeholders. The summary does not need to include sensitive technical details, but it should communicate what happened, what was done about it, and what has changed as a result. Transparency builds the governance culture that prevents future incidents from being hidden or minimised.</w:t>
      </w:r>
    </w:p>
    <w:p w14:paraId="2467A868" w14:textId="77777777" w:rsidR="00794D5A" w:rsidRPr="00BA003D" w:rsidRDefault="00000000" w:rsidP="00BA003D">
      <w:pPr>
        <w:pBdr>
          <w:left w:val="single" w:sz="12" w:space="8" w:color="1D4ED8"/>
        </w:pBdr>
        <w:shd w:val="clear" w:color="auto" w:fill="F0F4FF"/>
        <w:spacing w:before="120" w:after="40" w:line="480" w:lineRule="auto"/>
        <w:ind w:left="240"/>
        <w:rPr>
          <w:sz w:val="32"/>
          <w:szCs w:val="32"/>
        </w:rPr>
      </w:pPr>
      <w:r w:rsidRPr="00BA003D">
        <w:rPr>
          <w:rFonts w:ascii="Georgia" w:eastAsia="Georgia" w:hAnsi="Georgia" w:cs="Georgia"/>
          <w:b/>
          <w:bCs/>
          <w:color w:val="1D4ED8"/>
          <w:sz w:val="32"/>
          <w:szCs w:val="32"/>
        </w:rPr>
        <w:t>Regulatory Cross-References</w:t>
      </w:r>
    </w:p>
    <w:p w14:paraId="37B46B2F" w14:textId="77777777" w:rsidR="00794D5A" w:rsidRDefault="00000000" w:rsidP="00BA003D">
      <w:pPr>
        <w:pStyle w:val="ListParagraph"/>
        <w:numPr>
          <w:ilvl w:val="0"/>
          <w:numId w:val="8"/>
        </w:numPr>
        <w:pBdr>
          <w:left w:val="single" w:sz="12" w:space="8" w:color="1D4ED8"/>
        </w:pBdr>
        <w:shd w:val="clear" w:color="auto" w:fill="F0F4FF"/>
        <w:spacing w:before="40" w:after="40" w:line="480" w:lineRule="auto"/>
      </w:pPr>
      <w:r w:rsidRPr="00BA003D">
        <w:rPr>
          <w:b/>
          <w:bCs/>
          <w:color w:val="1E2B4D"/>
          <w:sz w:val="18"/>
          <w:szCs w:val="18"/>
        </w:rPr>
        <w:t>ISO/IEC 42001:2023</w:t>
      </w:r>
      <w:r w:rsidRPr="00BA003D">
        <w:rPr>
          <w:color w:val="475569"/>
          <w:sz w:val="18"/>
          <w:szCs w:val="18"/>
        </w:rPr>
        <w:t xml:space="preserve"> Clause 10.2 – Corrective action (eliminate the cause of nonconformity to prevent recurrence); Clause 10.1 – Continual improvement of the AI management system</w:t>
      </w:r>
    </w:p>
    <w:p w14:paraId="1F80B5E7" w14:textId="77777777" w:rsidR="00794D5A" w:rsidRDefault="00000000" w:rsidP="00BA003D">
      <w:pPr>
        <w:pStyle w:val="ListParagraph"/>
        <w:numPr>
          <w:ilvl w:val="0"/>
          <w:numId w:val="8"/>
        </w:numPr>
        <w:pBdr>
          <w:left w:val="single" w:sz="12" w:space="8" w:color="1D4ED8"/>
        </w:pBdr>
        <w:shd w:val="clear" w:color="auto" w:fill="F0F4FF"/>
        <w:spacing w:before="40" w:after="40" w:line="480" w:lineRule="auto"/>
      </w:pPr>
      <w:r w:rsidRPr="00BA003D">
        <w:rPr>
          <w:b/>
          <w:bCs/>
          <w:color w:val="1E2B4D"/>
          <w:sz w:val="18"/>
          <w:szCs w:val="18"/>
        </w:rPr>
        <w:t>NIST AI RMF 1.0</w:t>
      </w:r>
      <w:r w:rsidRPr="00BA003D">
        <w:rPr>
          <w:color w:val="475569"/>
          <w:sz w:val="18"/>
          <w:szCs w:val="18"/>
        </w:rPr>
        <w:t xml:space="preserve"> MANAGE 4 – Regularly monitor and improve risk treatments and response procedures; MANAGE 2.3 – Update response and recovery procedures based on lessons learned from incidents</w:t>
      </w:r>
    </w:p>
    <w:p w14:paraId="27CF31DE" w14:textId="77777777" w:rsidR="00794D5A" w:rsidRDefault="00000000" w:rsidP="00BA003D">
      <w:pPr>
        <w:pStyle w:val="ListParagraph"/>
        <w:numPr>
          <w:ilvl w:val="0"/>
          <w:numId w:val="8"/>
        </w:numPr>
        <w:pBdr>
          <w:left w:val="single" w:sz="12" w:space="8" w:color="1D4ED8"/>
        </w:pBdr>
        <w:shd w:val="clear" w:color="auto" w:fill="F0F4FF"/>
        <w:spacing w:before="40" w:after="40" w:line="480" w:lineRule="auto"/>
      </w:pPr>
      <w:r w:rsidRPr="00BA003D">
        <w:rPr>
          <w:b/>
          <w:bCs/>
          <w:color w:val="1E2B4D"/>
          <w:sz w:val="18"/>
          <w:szCs w:val="18"/>
        </w:rPr>
        <w:t>EU AI Act</w:t>
      </w:r>
      <w:r w:rsidRPr="00BA003D">
        <w:rPr>
          <w:color w:val="475569"/>
          <w:sz w:val="18"/>
          <w:szCs w:val="18"/>
        </w:rPr>
        <w:t xml:space="preserve"> Article 20 – Corrective actions and duty of information (providers must take corrective action and inform relevant parties); Article 72 – Post-market monitoring plan (providers shall establish and document a post-market monitoring system)</w:t>
      </w:r>
    </w:p>
    <w:p w14:paraId="52B8C80C" w14:textId="77777777" w:rsidR="00794D5A" w:rsidRDefault="00000000" w:rsidP="00BA003D">
      <w:pPr>
        <w:pStyle w:val="ListParagraph"/>
        <w:numPr>
          <w:ilvl w:val="0"/>
          <w:numId w:val="8"/>
        </w:numPr>
        <w:pBdr>
          <w:left w:val="single" w:sz="12" w:space="8" w:color="1D4ED8"/>
        </w:pBdr>
        <w:shd w:val="clear" w:color="auto" w:fill="F0F4FF"/>
        <w:spacing w:before="40" w:after="40" w:line="480" w:lineRule="auto"/>
      </w:pPr>
      <w:r w:rsidRPr="00BA003D">
        <w:rPr>
          <w:b/>
          <w:bCs/>
          <w:color w:val="1E2B4D"/>
          <w:sz w:val="18"/>
          <w:szCs w:val="18"/>
        </w:rPr>
        <w:t>Colorado AI Act</w:t>
      </w:r>
      <w:r w:rsidRPr="00BA003D">
        <w:rPr>
          <w:color w:val="475569"/>
          <w:sz w:val="18"/>
          <w:szCs w:val="18"/>
        </w:rPr>
        <w:t xml:space="preserve"> C.R.S. 6-1-1706 – Safe harbour requires ongoing documented compliance with NIST AI RMF or ISO/IEC 42001; failure to maintain compliance after an incident eliminates the affirmative defence</w:t>
      </w:r>
    </w:p>
    <w:p w14:paraId="15DF4942" w14:textId="77777777" w:rsidR="00794D5A" w:rsidRDefault="00000000" w:rsidP="00BA003D">
      <w:pPr>
        <w:pStyle w:val="ListParagraph"/>
        <w:numPr>
          <w:ilvl w:val="0"/>
          <w:numId w:val="8"/>
        </w:numPr>
        <w:pBdr>
          <w:left w:val="single" w:sz="12" w:space="8" w:color="1D4ED8"/>
        </w:pBdr>
        <w:shd w:val="clear" w:color="auto" w:fill="F0F4FF"/>
        <w:spacing w:before="40" w:after="40" w:line="480" w:lineRule="auto"/>
      </w:pPr>
      <w:r w:rsidRPr="00BA003D">
        <w:rPr>
          <w:b/>
          <w:bCs/>
          <w:color w:val="1E2B4D"/>
          <w:sz w:val="18"/>
          <w:szCs w:val="18"/>
        </w:rPr>
        <w:t>Singapore</w:t>
      </w:r>
      <w:r w:rsidRPr="00BA003D">
        <w:rPr>
          <w:color w:val="475569"/>
          <w:sz w:val="18"/>
          <w:szCs w:val="18"/>
        </w:rPr>
        <w:t xml:space="preserve"> Model AI Governance Framework – Principle 2 (decisions by AI should be subject to human oversight, with explainability proportionate to impact); PDPC enforcement guidance – Organisations are expected to demonstrate meaningful improvements to prevent recurrence after a breach</w:t>
      </w:r>
    </w:p>
    <w:p w14:paraId="47CA4D22" w14:textId="0AD53AC1" w:rsidR="00794D5A" w:rsidRDefault="00000000" w:rsidP="00BA003D">
      <w:pPr>
        <w:pStyle w:val="Heading1"/>
      </w:pPr>
      <w:r>
        <w:br w:type="page"/>
      </w:r>
      <w:r>
        <w:lastRenderedPageBreak/>
        <w:t>Upgrade to ACT Tier 2 Professional</w:t>
      </w:r>
    </w:p>
    <w:p w14:paraId="36FDED37" w14:textId="77777777" w:rsidR="00794D5A" w:rsidRDefault="00794D5A">
      <w:pPr>
        <w:pBdr>
          <w:bottom w:val="single" w:sz="6" w:space="4" w:color="1E2B4D"/>
        </w:pBdr>
        <w:spacing w:after="300"/>
      </w:pPr>
    </w:p>
    <w:p w14:paraId="468224FB" w14:textId="77777777" w:rsidR="00794D5A" w:rsidRDefault="00000000">
      <w:pPr>
        <w:spacing w:after="200"/>
      </w:pPr>
      <w:r>
        <w:t>This quick reference gives your team a structured response protocol with regulatory cross-references across five frameworks. It tells you what to do and which regulatory obligations apply at each step. What it does not provide is the implementation layer: the formal procedures, evidence templates, workflow definitions, and reporting structures that turn a reference guide into a defensible, auditable incident response capability.</w:t>
      </w:r>
    </w:p>
    <w:p w14:paraId="09D18E66" w14:textId="77777777" w:rsidR="00794D5A" w:rsidRDefault="00794D5A">
      <w:pPr>
        <w:spacing w:before="100"/>
      </w:pPr>
    </w:p>
    <w:p w14:paraId="47509108" w14:textId="77777777" w:rsidR="00794D5A" w:rsidRDefault="00000000">
      <w:pPr>
        <w:spacing w:after="200"/>
      </w:pPr>
      <w:r>
        <w:t>To build that capability, you need:</w:t>
      </w:r>
    </w:p>
    <w:p w14:paraId="78D8BFA9" w14:textId="77777777" w:rsidR="00794D5A" w:rsidRDefault="00794D5A">
      <w:pPr>
        <w:spacing w:before="80"/>
      </w:pPr>
    </w:p>
    <w:p w14:paraId="2E3DBBD8" w14:textId="77777777" w:rsidR="00794D5A" w:rsidRDefault="00000000">
      <w:pPr>
        <w:numPr>
          <w:ilvl w:val="0"/>
          <w:numId w:val="1"/>
        </w:numPr>
        <w:spacing w:after="120"/>
      </w:pPr>
      <w:r>
        <w:rPr>
          <w:b/>
          <w:bCs/>
        </w:rPr>
        <w:t>Formal incident response procedure</w:t>
      </w:r>
      <w:r>
        <w:t xml:space="preserve"> – A complete, role-assigned procedure with decision trees, escalation thresholds, and communication templates mapped to each regulatory deadline. Defines who does what, by when, and how decisions are documented.</w:t>
      </w:r>
    </w:p>
    <w:p w14:paraId="115C1447" w14:textId="77777777" w:rsidR="00794D5A" w:rsidRDefault="00000000">
      <w:pPr>
        <w:numPr>
          <w:ilvl w:val="0"/>
          <w:numId w:val="1"/>
        </w:numPr>
        <w:spacing w:after="120"/>
      </w:pPr>
      <w:r>
        <w:rPr>
          <w:b/>
          <w:bCs/>
        </w:rPr>
        <w:t>Evidence preservation pack</w:t>
      </w:r>
      <w:r>
        <w:t xml:space="preserve"> – Checklists and forensics procedures for capturing, securing, and retaining incident evidence in a format that satisfies ISO 42001 Clause 7.5 documented information requirements and EU AI Act Article 12 record-keeping obligations.</w:t>
      </w:r>
    </w:p>
    <w:p w14:paraId="1482B439" w14:textId="77777777" w:rsidR="00794D5A" w:rsidRDefault="00000000">
      <w:pPr>
        <w:numPr>
          <w:ilvl w:val="0"/>
          <w:numId w:val="1"/>
        </w:numPr>
        <w:spacing w:after="120"/>
      </w:pPr>
      <w:r>
        <w:rPr>
          <w:b/>
          <w:bCs/>
        </w:rPr>
        <w:t>Board-ready reporting structure</w:t>
      </w:r>
      <w:r>
        <w:t xml:space="preserve"> – Structured templates for executive and board communication that translate technical incident details into governance-level summaries with regulatory timeline tracking and risk quantification.</w:t>
      </w:r>
    </w:p>
    <w:p w14:paraId="7548ACAB" w14:textId="77777777" w:rsidR="00794D5A" w:rsidRDefault="00000000">
      <w:pPr>
        <w:numPr>
          <w:ilvl w:val="0"/>
          <w:numId w:val="1"/>
        </w:numPr>
        <w:spacing w:after="120"/>
      </w:pPr>
      <w:r>
        <w:rPr>
          <w:b/>
          <w:bCs/>
        </w:rPr>
        <w:t>Integration with AI governance policy</w:t>
      </w:r>
      <w:r>
        <w:t xml:space="preserve"> – Linking incident handling to the organisation’s overall AI governance framework, including the AI acceptable use policy, skill approval workflow, risk register, and vendor due diligence procedures across all five regulatory jurisdictions.</w:t>
      </w:r>
    </w:p>
    <w:p w14:paraId="001524A5" w14:textId="77777777" w:rsidR="00794D5A" w:rsidRDefault="00794D5A">
      <w:pPr>
        <w:spacing w:before="200"/>
      </w:pPr>
    </w:p>
    <w:p w14:paraId="462B7F9E" w14:textId="77777777" w:rsidR="00794D5A" w:rsidRDefault="00000000">
      <w:pPr>
        <w:spacing w:after="200"/>
      </w:pPr>
      <w:r>
        <w:t>AI CONTROLS TOOLKIT: Professional (Tier 2) provides all these assets, plus vendor due diligence questionnaires, agentic AI governance policy templates, and a full implementation project plan.</w:t>
      </w:r>
    </w:p>
    <w:p w14:paraId="0DCBBAA7" w14:textId="77777777" w:rsidR="00794D5A" w:rsidRDefault="00794D5A">
      <w:pPr>
        <w:spacing w:before="100"/>
      </w:pPr>
    </w:p>
    <w:p w14:paraId="5BC44925" w14:textId="77777777" w:rsidR="00794D5A" w:rsidRDefault="00000000">
      <w:pPr>
        <w:shd w:val="clear" w:color="auto" w:fill="F0F4FF"/>
        <w:spacing w:before="80" w:after="80"/>
        <w:jc w:val="center"/>
      </w:pPr>
      <w:r>
        <w:rPr>
          <w:b/>
          <w:bCs/>
          <w:color w:val="1D4ED8"/>
        </w:rPr>
        <w:t>Visit move78int.com/pricing.html</w:t>
      </w:r>
    </w:p>
    <w:p w14:paraId="1436FE4A" w14:textId="77777777" w:rsidR="00794D5A" w:rsidRDefault="00000000">
      <w:r>
        <w:br w:type="page"/>
      </w:r>
    </w:p>
    <w:p w14:paraId="1CC61B4D" w14:textId="77777777" w:rsidR="00794D5A" w:rsidRDefault="00000000">
      <w:pPr>
        <w:pStyle w:val="Heading1"/>
      </w:pPr>
      <w:r>
        <w:lastRenderedPageBreak/>
        <w:t>Disclaimer &amp; Legal Notice</w:t>
      </w:r>
    </w:p>
    <w:p w14:paraId="77121836" w14:textId="77777777" w:rsidR="00794D5A" w:rsidRDefault="00794D5A">
      <w:pPr>
        <w:pBdr>
          <w:bottom w:val="single" w:sz="6" w:space="4" w:color="1E2B4D"/>
        </w:pBdr>
        <w:spacing w:after="300"/>
      </w:pPr>
    </w:p>
    <w:p w14:paraId="0C37B526" w14:textId="77777777" w:rsidR="00794D5A" w:rsidRDefault="00000000">
      <w:pPr>
        <w:pBdr>
          <w:left w:val="single" w:sz="8" w:space="8" w:color="1E2B4D"/>
        </w:pBdr>
        <w:spacing w:before="200" w:after="120"/>
        <w:ind w:left="240"/>
      </w:pPr>
      <w:r>
        <w:rPr>
          <w:b/>
          <w:bCs/>
          <w:color w:val="1E2B4D"/>
        </w:rPr>
        <w:t>Important Notice</w:t>
      </w:r>
    </w:p>
    <w:p w14:paraId="502D2B13" w14:textId="77777777" w:rsidR="00794D5A" w:rsidRDefault="00000000">
      <w:pPr>
        <w:pBdr>
          <w:left w:val="single" w:sz="8" w:space="8" w:color="1E2B4D"/>
        </w:pBdr>
        <w:spacing w:after="200"/>
        <w:ind w:left="240"/>
      </w:pPr>
      <w:r>
        <w:rPr>
          <w:sz w:val="20"/>
          <w:szCs w:val="20"/>
        </w:rPr>
        <w:t>This document is for informational purposes only and does not constitute legal advice, a compliance determination, or an audit opinion. Regulatory cross-references are provided for orientation and do not represent a complete statement of any framework’s requirements. Always consult with qualified professionals for your specific circumstances.</w:t>
      </w:r>
    </w:p>
    <w:p w14:paraId="6FDA618C" w14:textId="77777777" w:rsidR="00794D5A" w:rsidRDefault="00000000">
      <w:pPr>
        <w:pBdr>
          <w:left w:val="single" w:sz="8" w:space="8" w:color="1E2B4D"/>
        </w:pBdr>
        <w:spacing w:before="200" w:after="120"/>
        <w:ind w:left="240"/>
      </w:pPr>
      <w:r>
        <w:rPr>
          <w:b/>
          <w:bCs/>
          <w:color w:val="1E2B4D"/>
        </w:rPr>
        <w:t>Professional Consultation Required</w:t>
      </w:r>
    </w:p>
    <w:p w14:paraId="27DD3C69" w14:textId="77777777" w:rsidR="00794D5A" w:rsidRDefault="00000000">
      <w:pPr>
        <w:pBdr>
          <w:left w:val="single" w:sz="8" w:space="8" w:color="1E2B4D"/>
        </w:pBdr>
        <w:spacing w:after="200"/>
        <w:ind w:left="240"/>
      </w:pPr>
      <w:r>
        <w:rPr>
          <w:sz w:val="20"/>
          <w:szCs w:val="20"/>
        </w:rPr>
        <w:t>Consult your legal, compliance, privacy, and information security teams before implementing changes. Requirements vary by jurisdiction, industry, data types, and use case. Incident response procedures should be reviewed by qualified legal counsel before adoption.</w:t>
      </w:r>
    </w:p>
    <w:p w14:paraId="6D63480E" w14:textId="77777777" w:rsidR="00794D5A" w:rsidRDefault="00000000">
      <w:pPr>
        <w:pBdr>
          <w:left w:val="single" w:sz="8" w:space="8" w:color="1E2B4D"/>
        </w:pBdr>
        <w:spacing w:before="200" w:after="120"/>
        <w:ind w:left="240"/>
      </w:pPr>
      <w:r>
        <w:rPr>
          <w:b/>
          <w:bCs/>
          <w:color w:val="1E2B4D"/>
        </w:rPr>
        <w:t>No Guarantee of Compliance</w:t>
      </w:r>
    </w:p>
    <w:p w14:paraId="14D03EF8" w14:textId="77777777" w:rsidR="00794D5A" w:rsidRDefault="00000000">
      <w:pPr>
        <w:pBdr>
          <w:left w:val="single" w:sz="8" w:space="8" w:color="1E2B4D"/>
        </w:pBdr>
        <w:spacing w:after="200"/>
        <w:ind w:left="240"/>
      </w:pPr>
      <w:r>
        <w:rPr>
          <w:sz w:val="20"/>
          <w:szCs w:val="20"/>
        </w:rPr>
        <w:t>Use of this quick reference does not guarantee compliance with any law, regulation, or standard, including (but not limited to) ISO/IEC 42001, NIST AI RMF, the EU AI Act (Regulation (EU) 2024/1689), Colorado AI Act (C.R.S. 6-1-1701 et seq.), Singapore PDPA, the Singapore Cybersecurity Act, or sector-specific regulations. Each organisation remains responsible for its own compliance determinations and evidence.</w:t>
      </w:r>
    </w:p>
    <w:p w14:paraId="140C6991" w14:textId="77777777" w:rsidR="00794D5A" w:rsidRDefault="00000000">
      <w:pPr>
        <w:pBdr>
          <w:left w:val="single" w:sz="8" w:space="8" w:color="1E2B4D"/>
        </w:pBdr>
        <w:spacing w:before="200" w:after="120"/>
        <w:ind w:left="240"/>
      </w:pPr>
      <w:r>
        <w:rPr>
          <w:b/>
          <w:bCs/>
          <w:color w:val="1E2B4D"/>
        </w:rPr>
        <w:t>Regulatory References</w:t>
      </w:r>
    </w:p>
    <w:p w14:paraId="3B3A9F5E" w14:textId="77777777" w:rsidR="00794D5A" w:rsidRDefault="00000000">
      <w:pPr>
        <w:pBdr>
          <w:left w:val="single" w:sz="8" w:space="8" w:color="1E2B4D"/>
        </w:pBdr>
        <w:spacing w:after="200"/>
        <w:ind w:left="240"/>
      </w:pPr>
      <w:r>
        <w:rPr>
          <w:sz w:val="20"/>
          <w:szCs w:val="20"/>
        </w:rPr>
        <w:t>All regulatory citations are current as of March 2026. The EU AI Act Article 73 serious incident reporting obligations take effect 2 August 2026. The Colorado AI Act took effect 1 February 2026. Singapore PDPA mandatory breach notification has been in effect since 1 February 2021. The Singapore Model AI Governance Framework is voluntary. Organisations should verify current enforcement dates and any amendments with the relevant authorities.</w:t>
      </w:r>
    </w:p>
    <w:p w14:paraId="53009BC2" w14:textId="77777777" w:rsidR="00794D5A" w:rsidRDefault="00000000">
      <w:pPr>
        <w:pBdr>
          <w:left w:val="single" w:sz="8" w:space="8" w:color="1E2B4D"/>
        </w:pBdr>
        <w:spacing w:before="200" w:after="120"/>
        <w:ind w:left="240"/>
      </w:pPr>
      <w:r>
        <w:rPr>
          <w:b/>
          <w:bCs/>
          <w:color w:val="1E2B4D"/>
        </w:rPr>
        <w:t>Limitation of Liability</w:t>
      </w:r>
    </w:p>
    <w:p w14:paraId="59644DAC" w14:textId="77777777" w:rsidR="00794D5A" w:rsidRDefault="00000000">
      <w:pPr>
        <w:pBdr>
          <w:left w:val="single" w:sz="8" w:space="8" w:color="1E2B4D"/>
        </w:pBdr>
        <w:spacing w:after="200"/>
        <w:ind w:left="240"/>
      </w:pPr>
      <w:r>
        <w:rPr>
          <w:sz w:val="20"/>
          <w:szCs w:val="20"/>
        </w:rPr>
        <w:t>In no event shall Move78 International Limited, its directors, employees, or agents be liable for any direct, indirect, incidental, special, or consequential damages arising from the use of this document.</w:t>
      </w:r>
    </w:p>
    <w:p w14:paraId="7804A469" w14:textId="77777777" w:rsidR="00794D5A" w:rsidRDefault="00000000">
      <w:pPr>
        <w:pBdr>
          <w:left w:val="single" w:sz="8" w:space="8" w:color="1E2B4D"/>
        </w:pBdr>
        <w:spacing w:before="200" w:after="120"/>
        <w:ind w:left="240"/>
      </w:pPr>
      <w:r>
        <w:rPr>
          <w:b/>
          <w:bCs/>
          <w:color w:val="1E2B4D"/>
        </w:rPr>
        <w:t>Intellectual Property</w:t>
      </w:r>
    </w:p>
    <w:p w14:paraId="652443AF" w14:textId="77777777" w:rsidR="00794D5A" w:rsidRDefault="00000000">
      <w:pPr>
        <w:pBdr>
          <w:left w:val="single" w:sz="8" w:space="8" w:color="1E2B4D"/>
        </w:pBdr>
        <w:spacing w:after="200"/>
        <w:ind w:left="240"/>
      </w:pPr>
      <w:r>
        <w:rPr>
          <w:sz w:val="20"/>
          <w:szCs w:val="20"/>
        </w:rPr>
        <w:t>This document is copyright 2026 Move78 International Limited. You may use, modify, and distribute this document within your organisation. You may not resell, sublicence, or redistribute this document as a standalone product.</w:t>
      </w:r>
    </w:p>
    <w:p w14:paraId="3B456E03" w14:textId="77777777" w:rsidR="00794D5A" w:rsidRDefault="00000000">
      <w:pPr>
        <w:pBdr>
          <w:left w:val="single" w:sz="8" w:space="8" w:color="1E2B4D"/>
        </w:pBdr>
        <w:spacing w:before="200" w:after="120"/>
        <w:ind w:left="240"/>
      </w:pPr>
      <w:r>
        <w:rPr>
          <w:b/>
          <w:bCs/>
          <w:color w:val="1E2B4D"/>
        </w:rPr>
        <w:t>Governing Law</w:t>
      </w:r>
    </w:p>
    <w:p w14:paraId="719A2FF8" w14:textId="77777777" w:rsidR="00794D5A" w:rsidRDefault="00000000">
      <w:pPr>
        <w:pBdr>
          <w:left w:val="single" w:sz="8" w:space="8" w:color="1E2B4D"/>
        </w:pBdr>
        <w:spacing w:after="200"/>
        <w:ind w:left="240"/>
      </w:pPr>
      <w:r>
        <w:rPr>
          <w:sz w:val="20"/>
          <w:szCs w:val="20"/>
        </w:rPr>
        <w:t>This document and any dispute arising from its use shall be governed by and construed in accordance with the laws of the Hong Kong Special Administrative Region.</w:t>
      </w:r>
    </w:p>
    <w:sectPr w:rsidR="00794D5A">
      <w:headerReference w:type="default" r:id="rId15"/>
      <w:footerReference w:type="default" r:id="rId16"/>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5B72D" w14:textId="77777777" w:rsidR="00812E5A" w:rsidRDefault="00812E5A">
      <w:r>
        <w:separator/>
      </w:r>
    </w:p>
  </w:endnote>
  <w:endnote w:type="continuationSeparator" w:id="0">
    <w:p w14:paraId="34289615" w14:textId="77777777" w:rsidR="00812E5A" w:rsidRDefault="00812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19931" w14:textId="724F96CA" w:rsidR="00794D5A" w:rsidRDefault="00000000">
    <w:pPr>
      <w:pBdr>
        <w:top w:val="single" w:sz="4" w:space="4" w:color="1E2B4D"/>
      </w:pBdr>
      <w:tabs>
        <w:tab w:val="right" w:pos="9026"/>
      </w:tabs>
    </w:pPr>
    <w:r>
      <w:rPr>
        <w:color w:val="6B7280"/>
        <w:sz w:val="14"/>
        <w:szCs w:val="14"/>
      </w:rPr>
      <w:t xml:space="preserve">© 2026 Move 78 International </w:t>
    </w:r>
    <w:r w:rsidR="00BA003D">
      <w:rPr>
        <w:color w:val="6B7280"/>
        <w:sz w:val="14"/>
        <w:szCs w:val="14"/>
      </w:rPr>
      <w:t>Limited | www.move78int.com</w:t>
    </w:r>
    <w:r>
      <w:rPr>
        <w:sz w:val="14"/>
        <w:szCs w:val="14"/>
      </w:rPr>
      <w:tab/>
    </w:r>
    <w:r>
      <w:rPr>
        <w:color w:val="6B7280"/>
        <w:sz w:val="14"/>
        <w:szCs w:val="14"/>
      </w:rPr>
      <w:t xml:space="preserve">Page </w:t>
    </w:r>
    <w:r>
      <w:rPr>
        <w:color w:val="6B7280"/>
        <w:sz w:val="14"/>
        <w:szCs w:val="14"/>
      </w:rPr>
      <w:fldChar w:fldCharType="begin"/>
    </w:r>
    <w:r>
      <w:rPr>
        <w:color w:val="6B7280"/>
        <w:sz w:val="14"/>
        <w:szCs w:val="14"/>
      </w:rPr>
      <w:instrText>PAGE</w:instrText>
    </w:r>
    <w:r>
      <w:rPr>
        <w:color w:val="6B7280"/>
        <w:sz w:val="14"/>
        <w:szCs w:val="14"/>
      </w:rPr>
      <w:fldChar w:fldCharType="separate"/>
    </w:r>
    <w:r w:rsidR="00390971">
      <w:rPr>
        <w:noProof/>
        <w:color w:val="6B7280"/>
        <w:sz w:val="14"/>
        <w:szCs w:val="14"/>
      </w:rPr>
      <w:t>2</w:t>
    </w:r>
    <w:r>
      <w:rPr>
        <w:color w:val="6B7280"/>
        <w:sz w:val="14"/>
        <w:szCs w:val="14"/>
      </w:rPr>
      <w:fldChar w:fldCharType="end"/>
    </w:r>
    <w:r>
      <w:rPr>
        <w:color w:val="6B7280"/>
        <w:sz w:val="14"/>
        <w:szCs w:val="14"/>
      </w:rPr>
      <w:t xml:space="preserve"> of </w:t>
    </w:r>
    <w:r>
      <w:rPr>
        <w:color w:val="6B7280"/>
        <w:sz w:val="14"/>
        <w:szCs w:val="14"/>
      </w:rPr>
      <w:fldChar w:fldCharType="begin"/>
    </w:r>
    <w:r>
      <w:rPr>
        <w:color w:val="6B7280"/>
        <w:sz w:val="14"/>
        <w:szCs w:val="14"/>
      </w:rPr>
      <w:instrText>NUMPAGES</w:instrText>
    </w:r>
    <w:r>
      <w:rPr>
        <w:color w:val="6B7280"/>
        <w:sz w:val="14"/>
        <w:szCs w:val="14"/>
      </w:rPr>
      <w:fldChar w:fldCharType="separate"/>
    </w:r>
    <w:r w:rsidR="00390971">
      <w:rPr>
        <w:noProof/>
        <w:color w:val="6B7280"/>
        <w:sz w:val="14"/>
        <w:szCs w:val="14"/>
      </w:rPr>
      <w:t>3</w:t>
    </w:r>
    <w:r>
      <w:rPr>
        <w:color w:val="6B72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31845" w14:textId="77777777" w:rsidR="00812E5A" w:rsidRDefault="00812E5A">
      <w:r>
        <w:separator/>
      </w:r>
    </w:p>
  </w:footnote>
  <w:footnote w:type="continuationSeparator" w:id="0">
    <w:p w14:paraId="21BCBFF4" w14:textId="77777777" w:rsidR="00812E5A" w:rsidRDefault="00812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EDAE" w14:textId="2CDD1061" w:rsidR="00794D5A" w:rsidRDefault="00000000">
    <w:pPr>
      <w:pBdr>
        <w:bottom w:val="single" w:sz="4" w:space="4" w:color="1E2B4D"/>
      </w:pBdr>
      <w:tabs>
        <w:tab w:val="right" w:pos="9026"/>
      </w:tabs>
    </w:pPr>
    <w:r>
      <w:rPr>
        <w:b/>
        <w:bCs/>
        <w:color w:val="1E2B4D"/>
        <w:sz w:val="16"/>
        <w:szCs w:val="16"/>
      </w:rPr>
      <w:t>[Document Title]</w:t>
    </w:r>
    <w:r>
      <w:rPr>
        <w:color w:val="6B7280"/>
        <w:sz w:val="14"/>
        <w:szCs w:val="14"/>
      </w:rPr>
      <w:tab/>
      <w:t>Confidential — For Authorized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B0E7B"/>
    <w:multiLevelType w:val="hybridMultilevel"/>
    <w:tmpl w:val="985C8AB4"/>
    <w:lvl w:ilvl="0" w:tplc="97E230F6">
      <w:start w:val="1"/>
      <w:numFmt w:val="bullet"/>
      <w:lvlText w:val="●"/>
      <w:lvlJc w:val="left"/>
      <w:pPr>
        <w:ind w:left="720" w:hanging="360"/>
      </w:pPr>
    </w:lvl>
    <w:lvl w:ilvl="1" w:tplc="D34EF618">
      <w:start w:val="1"/>
      <w:numFmt w:val="bullet"/>
      <w:lvlText w:val="○"/>
      <w:lvlJc w:val="left"/>
      <w:pPr>
        <w:ind w:left="1440" w:hanging="360"/>
      </w:pPr>
    </w:lvl>
    <w:lvl w:ilvl="2" w:tplc="87E85C1C">
      <w:start w:val="1"/>
      <w:numFmt w:val="bullet"/>
      <w:lvlText w:val="■"/>
      <w:lvlJc w:val="left"/>
      <w:pPr>
        <w:ind w:left="2160" w:hanging="360"/>
      </w:pPr>
    </w:lvl>
    <w:lvl w:ilvl="3" w:tplc="19F05722">
      <w:start w:val="1"/>
      <w:numFmt w:val="bullet"/>
      <w:lvlText w:val="●"/>
      <w:lvlJc w:val="left"/>
      <w:pPr>
        <w:ind w:left="2880" w:hanging="360"/>
      </w:pPr>
    </w:lvl>
    <w:lvl w:ilvl="4" w:tplc="15141D66">
      <w:start w:val="1"/>
      <w:numFmt w:val="bullet"/>
      <w:lvlText w:val="○"/>
      <w:lvlJc w:val="left"/>
      <w:pPr>
        <w:ind w:left="3600" w:hanging="360"/>
      </w:pPr>
    </w:lvl>
    <w:lvl w:ilvl="5" w:tplc="4FA87668">
      <w:start w:val="1"/>
      <w:numFmt w:val="bullet"/>
      <w:lvlText w:val="■"/>
      <w:lvlJc w:val="left"/>
      <w:pPr>
        <w:ind w:left="4320" w:hanging="360"/>
      </w:pPr>
    </w:lvl>
    <w:lvl w:ilvl="6" w:tplc="E4681B16">
      <w:start w:val="1"/>
      <w:numFmt w:val="bullet"/>
      <w:lvlText w:val="●"/>
      <w:lvlJc w:val="left"/>
      <w:pPr>
        <w:ind w:left="5040" w:hanging="360"/>
      </w:pPr>
    </w:lvl>
    <w:lvl w:ilvl="7" w:tplc="8D58DD54">
      <w:start w:val="1"/>
      <w:numFmt w:val="bullet"/>
      <w:lvlText w:val="●"/>
      <w:lvlJc w:val="left"/>
      <w:pPr>
        <w:ind w:left="5760" w:hanging="360"/>
      </w:pPr>
    </w:lvl>
    <w:lvl w:ilvl="8" w:tplc="7C22CB9A">
      <w:start w:val="1"/>
      <w:numFmt w:val="bullet"/>
      <w:lvlText w:val="●"/>
      <w:lvlJc w:val="left"/>
      <w:pPr>
        <w:ind w:left="6480" w:hanging="360"/>
      </w:pPr>
    </w:lvl>
  </w:abstractNum>
  <w:abstractNum w:abstractNumId="1" w15:restartNumberingAfterBreak="0">
    <w:nsid w:val="16224FF0"/>
    <w:multiLevelType w:val="hybridMultilevel"/>
    <w:tmpl w:val="F896512E"/>
    <w:lvl w:ilvl="0" w:tplc="C05E6D46">
      <w:start w:val="1"/>
      <w:numFmt w:val="bullet"/>
      <w:lvlText w:val="•"/>
      <w:lvlJc w:val="left"/>
      <w:pPr>
        <w:ind w:left="720" w:hanging="360"/>
      </w:pPr>
    </w:lvl>
    <w:lvl w:ilvl="1" w:tplc="956AA9CC">
      <w:numFmt w:val="decimal"/>
      <w:lvlText w:val=""/>
      <w:lvlJc w:val="left"/>
    </w:lvl>
    <w:lvl w:ilvl="2" w:tplc="7C22A100">
      <w:numFmt w:val="decimal"/>
      <w:lvlText w:val=""/>
      <w:lvlJc w:val="left"/>
    </w:lvl>
    <w:lvl w:ilvl="3" w:tplc="27CC0FFA">
      <w:numFmt w:val="decimal"/>
      <w:lvlText w:val=""/>
      <w:lvlJc w:val="left"/>
    </w:lvl>
    <w:lvl w:ilvl="4" w:tplc="6E74BCC4">
      <w:numFmt w:val="decimal"/>
      <w:lvlText w:val=""/>
      <w:lvlJc w:val="left"/>
    </w:lvl>
    <w:lvl w:ilvl="5" w:tplc="2362BF2A">
      <w:numFmt w:val="decimal"/>
      <w:lvlText w:val=""/>
      <w:lvlJc w:val="left"/>
    </w:lvl>
    <w:lvl w:ilvl="6" w:tplc="3A38E174">
      <w:numFmt w:val="decimal"/>
      <w:lvlText w:val=""/>
      <w:lvlJc w:val="left"/>
    </w:lvl>
    <w:lvl w:ilvl="7" w:tplc="B3BEEE6A">
      <w:numFmt w:val="decimal"/>
      <w:lvlText w:val=""/>
      <w:lvlJc w:val="left"/>
    </w:lvl>
    <w:lvl w:ilvl="8" w:tplc="D8105A0C">
      <w:numFmt w:val="decimal"/>
      <w:lvlText w:val=""/>
      <w:lvlJc w:val="left"/>
    </w:lvl>
  </w:abstractNum>
  <w:abstractNum w:abstractNumId="2" w15:restartNumberingAfterBreak="0">
    <w:nsid w:val="20C26114"/>
    <w:multiLevelType w:val="hybridMultilevel"/>
    <w:tmpl w:val="171292CC"/>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3" w15:restartNumberingAfterBreak="0">
    <w:nsid w:val="35861057"/>
    <w:multiLevelType w:val="hybridMultilevel"/>
    <w:tmpl w:val="236C29E0"/>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4" w15:restartNumberingAfterBreak="0">
    <w:nsid w:val="38B1131B"/>
    <w:multiLevelType w:val="hybridMultilevel"/>
    <w:tmpl w:val="2C52BF2E"/>
    <w:lvl w:ilvl="0" w:tplc="F93E7914">
      <w:start w:val="1"/>
      <w:numFmt w:val="decimal"/>
      <w:lvlText w:val="%1."/>
      <w:lvlJc w:val="left"/>
      <w:pPr>
        <w:ind w:left="720" w:hanging="360"/>
      </w:pPr>
    </w:lvl>
    <w:lvl w:ilvl="1" w:tplc="5CAC8FAC">
      <w:numFmt w:val="decimal"/>
      <w:lvlText w:val=""/>
      <w:lvlJc w:val="left"/>
    </w:lvl>
    <w:lvl w:ilvl="2" w:tplc="6678856C">
      <w:numFmt w:val="decimal"/>
      <w:lvlText w:val=""/>
      <w:lvlJc w:val="left"/>
    </w:lvl>
    <w:lvl w:ilvl="3" w:tplc="F58229E4">
      <w:numFmt w:val="decimal"/>
      <w:lvlText w:val=""/>
      <w:lvlJc w:val="left"/>
    </w:lvl>
    <w:lvl w:ilvl="4" w:tplc="6E36796A">
      <w:numFmt w:val="decimal"/>
      <w:lvlText w:val=""/>
      <w:lvlJc w:val="left"/>
    </w:lvl>
    <w:lvl w:ilvl="5" w:tplc="413E5BCE">
      <w:numFmt w:val="decimal"/>
      <w:lvlText w:val=""/>
      <w:lvlJc w:val="left"/>
    </w:lvl>
    <w:lvl w:ilvl="6" w:tplc="3FA29334">
      <w:numFmt w:val="decimal"/>
      <w:lvlText w:val=""/>
      <w:lvlJc w:val="left"/>
    </w:lvl>
    <w:lvl w:ilvl="7" w:tplc="A5DC840A">
      <w:numFmt w:val="decimal"/>
      <w:lvlText w:val=""/>
      <w:lvlJc w:val="left"/>
    </w:lvl>
    <w:lvl w:ilvl="8" w:tplc="F158538A">
      <w:numFmt w:val="decimal"/>
      <w:lvlText w:val=""/>
      <w:lvlJc w:val="left"/>
    </w:lvl>
  </w:abstractNum>
  <w:abstractNum w:abstractNumId="5" w15:restartNumberingAfterBreak="0">
    <w:nsid w:val="3F747699"/>
    <w:multiLevelType w:val="hybridMultilevel"/>
    <w:tmpl w:val="2FDEE106"/>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6" w15:restartNumberingAfterBreak="0">
    <w:nsid w:val="4B083F47"/>
    <w:multiLevelType w:val="hybridMultilevel"/>
    <w:tmpl w:val="A0960A3C"/>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7" w15:restartNumberingAfterBreak="0">
    <w:nsid w:val="6E423433"/>
    <w:multiLevelType w:val="hybridMultilevel"/>
    <w:tmpl w:val="7DC8F4D4"/>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num w:numId="1" w16cid:durableId="234555072">
    <w:abstractNumId w:val="0"/>
    <w:lvlOverride w:ilvl="0">
      <w:startOverride w:val="1"/>
    </w:lvlOverride>
  </w:num>
  <w:num w:numId="2" w16cid:durableId="1305891491">
    <w:abstractNumId w:val="1"/>
    <w:lvlOverride w:ilvl="0">
      <w:startOverride w:val="1"/>
    </w:lvlOverride>
  </w:num>
  <w:num w:numId="3" w16cid:durableId="412975055">
    <w:abstractNumId w:val="4"/>
    <w:lvlOverride w:ilvl="0">
      <w:startOverride w:val="1"/>
    </w:lvlOverride>
  </w:num>
  <w:num w:numId="4" w16cid:durableId="1504588365">
    <w:abstractNumId w:val="7"/>
  </w:num>
  <w:num w:numId="5" w16cid:durableId="1443723453">
    <w:abstractNumId w:val="6"/>
  </w:num>
  <w:num w:numId="6" w16cid:durableId="1053770864">
    <w:abstractNumId w:val="5"/>
  </w:num>
  <w:num w:numId="7" w16cid:durableId="264768373">
    <w:abstractNumId w:val="3"/>
  </w:num>
  <w:num w:numId="8" w16cid:durableId="20801274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D5A"/>
    <w:rsid w:val="00390971"/>
    <w:rsid w:val="00794D5A"/>
    <w:rsid w:val="007E6CBE"/>
    <w:rsid w:val="00812E5A"/>
    <w:rsid w:val="00BA003D"/>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B31B"/>
  <w15:docId w15:val="{128B3923-7523-456A-A047-42F4082F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A1A1A"/>
        <w:sz w:val="22"/>
        <w:szCs w:val="22"/>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80"/>
      <w:outlineLvl w:val="0"/>
    </w:pPr>
    <w:rPr>
      <w:rFonts w:ascii="Georgia" w:eastAsia="Georgia" w:hAnsi="Georgia" w:cs="Georgia"/>
      <w:b/>
      <w:bCs/>
      <w:color w:val="1E2B4D"/>
      <w:sz w:val="32"/>
      <w:szCs w:val="32"/>
    </w:rPr>
  </w:style>
  <w:style w:type="paragraph" w:styleId="Heading2">
    <w:name w:val="heading 2"/>
    <w:uiPriority w:val="9"/>
    <w:semiHidden/>
    <w:unhideWhenUsed/>
    <w:qFormat/>
    <w:pPr>
      <w:spacing w:before="240" w:after="120"/>
      <w:outlineLvl w:val="1"/>
    </w:pPr>
    <w:rPr>
      <w:rFonts w:ascii="Georgia" w:eastAsia="Georgia" w:hAnsi="Georgia" w:cs="Georgia"/>
      <w:b/>
      <w:bCs/>
      <w:color w:val="1E2B4D"/>
      <w:sz w:val="26"/>
      <w:szCs w:val="26"/>
    </w:rPr>
  </w:style>
  <w:style w:type="paragraph" w:styleId="Heading3">
    <w:name w:val="heading 3"/>
    <w:uiPriority w:val="9"/>
    <w:semiHidden/>
    <w:unhideWhenUsed/>
    <w:qFormat/>
    <w:pPr>
      <w:spacing w:before="180" w:after="80"/>
      <w:outlineLvl w:val="2"/>
    </w:pPr>
    <w:rPr>
      <w:b/>
      <w:bCs/>
      <w:color w:val="2B7A8C"/>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390971"/>
    <w:rPr>
      <w:color w:val="605E5C"/>
      <w:shd w:val="clear" w:color="auto" w:fill="E1DFDD"/>
    </w:rPr>
  </w:style>
  <w:style w:type="paragraph" w:styleId="Header">
    <w:name w:val="header"/>
    <w:basedOn w:val="Normal"/>
    <w:link w:val="HeaderChar"/>
    <w:uiPriority w:val="99"/>
    <w:unhideWhenUsed/>
    <w:rsid w:val="00BA003D"/>
    <w:pPr>
      <w:tabs>
        <w:tab w:val="center" w:pos="4513"/>
        <w:tab w:val="right" w:pos="9026"/>
      </w:tabs>
    </w:pPr>
    <w:rPr>
      <w:rFonts w:cs="Mangal"/>
      <w:szCs w:val="20"/>
    </w:rPr>
  </w:style>
  <w:style w:type="character" w:customStyle="1" w:styleId="HeaderChar">
    <w:name w:val="Header Char"/>
    <w:basedOn w:val="DefaultParagraphFont"/>
    <w:link w:val="Header"/>
    <w:uiPriority w:val="99"/>
    <w:rsid w:val="00BA003D"/>
    <w:rPr>
      <w:rFonts w:cs="Mangal"/>
      <w:szCs w:val="20"/>
    </w:rPr>
  </w:style>
  <w:style w:type="paragraph" w:styleId="Footer">
    <w:name w:val="footer"/>
    <w:basedOn w:val="Normal"/>
    <w:link w:val="FooterChar"/>
    <w:uiPriority w:val="99"/>
    <w:unhideWhenUsed/>
    <w:rsid w:val="00BA003D"/>
    <w:pPr>
      <w:tabs>
        <w:tab w:val="center" w:pos="4513"/>
        <w:tab w:val="right" w:pos="9026"/>
      </w:tabs>
    </w:pPr>
    <w:rPr>
      <w:rFonts w:cs="Mangal"/>
      <w:szCs w:val="20"/>
    </w:rPr>
  </w:style>
  <w:style w:type="character" w:customStyle="1" w:styleId="FooterChar">
    <w:name w:val="Footer Char"/>
    <w:basedOn w:val="DefaultParagraphFont"/>
    <w:link w:val="Footer"/>
    <w:uiPriority w:val="99"/>
    <w:rsid w:val="00BA003D"/>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ove78int.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contact@move78int.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3719</Words>
  <Characters>21204</Characters>
  <Application>Microsoft Office Word</Application>
  <DocSecurity>0</DocSecurity>
  <Lines>176</Lines>
  <Paragraphs>49</Paragraphs>
  <ScaleCrop>false</ScaleCrop>
  <Company/>
  <LinksUpToDate>false</LinksUpToDate>
  <CharactersWithSpaces>24874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Abhishek G Sharma</cp:lastModifiedBy>
  <cp:revision>3</cp:revision>
  <dcterms:created xsi:type="dcterms:W3CDTF">2026-03-21T03:14:00Z</dcterms:created>
  <dcterms:modified xsi:type="dcterms:W3CDTF">2026-03-23T21:42:00Z</dcterms:modified>
</cp:coreProperties>
</file>